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Hinterbliebenen eines Mitgliedes der Bundesregierung erhalten Hinterbliebenenversorgung (§ 13 Abs. 2). § 15 Abs. 1 gilt nicht für die Versorgung der Hinterbliebenen eines Mitgliedes der Bundesregierung; der Bemessung ihrer Versorgung ist ein Ruhegehalt in Höhe von mindestens fünfunddreißig vom Hundert des Amtsgehalts und des Ortszuschlags zugrunde zu legen. Satz 1 gilt auch für die Hinterbliebenen eines ehemaligen Mitgliedes der Bundesregierung, das zur Zeit seines Todes einen Anspruch auf Ruhegehalt hatte.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16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