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BMinG</w:t>
      </w:r>
    </w:p>
    <w:p>
      <w:r>
        <w:rPr>
          <w:color w:val="555555"/>
          <w:sz w:val="18"/>
        </w:rPr>
        <w:t xml:space="preserve">Bundesministergesetz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Die Mitglieder der Bundesregierung erhalten vom Beginn des Kalendermonats an, in dem das Amtsverhältnis beginnt, bis zum Schluß des Kalendermonats, in dem das Amtsverhältnis endet, folgende Amtsbezüge:</w:t>
      </w:r>
    </w:p>
    <w:p>
      <w:pPr>
        <w:ind w:left="420"/>
      </w:pPr>
      <w:r>
        <w:t xml:space="preserve">a) ein Amtsgehalt, und zwarder Bundeskanzler in Höhe von einzweidrittel,die Bundesminister in Höhe von eineindritteldes Grundgehalts der Besoldungsgruppe B 11 einschließlich zum Grundgehalt allgemein gewährter Zulagen,</w:t>
      </w:r>
    </w:p>
    <w:p>
      <w:pPr>
        <w:ind w:left="420"/>
      </w:pPr>
      <w:r>
        <w:t xml:space="preserve">b) einen Ortszuschlag in Höhe von eineindrittel des in der Besoldungsgruppe B 11 zustehenden Ortszuschlags,</w:t>
      </w:r>
    </w:p>
    <w:p>
      <w:pPr>
        <w:ind w:left="420"/>
      </w:pPr>
      <w:r>
        <w:t xml:space="preserve">c) eine Dienstaufwandsentschädigung,und zwar der Bundeskanzler von</w:t>
      </w:r>
    </w:p>
    <w:p>
      <w:r>
        <w:rPr>
          <w:rFonts w:ascii="Courier New" w:hAnsi="Courier New"/>
          <w:sz w:val="17"/>
        </w:rPr>
        <w:t xml:space="preserve">jährlich    24 000 DM,</w:t>
      </w:r>
    </w:p>
    <w:p>
      <w:r>
        <w:rPr>
          <w:rFonts w:ascii="Courier New" w:hAnsi="Courier New"/>
          <w:sz w:val="17"/>
        </w:rPr>
        <w:t xml:space="preserve">die Bundesminister von jährlich    7 200 DM,</w:t>
      </w:r>
    </w:p>
    <w:p>
      <w:pPr>
        <w:ind w:left="420"/>
      </w:pPr>
      <w:r>
        <w:t xml:space="preserve">d) bei Unmöglichkeit der Verlegung des eigenen Hausstandes nach dem Sitz der Bundesregierung für die Dauer seiner Fortführung am bisherigen Wohnort eine Entschädigung von</w:t>
      </w:r>
    </w:p>
    <w:p>
      <w:r>
        <w:rPr>
          <w:rFonts w:ascii="Courier New" w:hAnsi="Courier New"/>
          <w:sz w:val="17"/>
        </w:rPr>
        <w:t xml:space="preserve">jährlich    3 600 DM.</w:t>
      </w:r>
    </w:p>
    <w:p>
      <w:r>
        <w:t xml:space="preserve">Die Amtsbezüge werden monatlich im voraus gezahlt.</w:t>
      </w:r>
    </w:p>
    <w:p>
      <w:r>
        <w:t xml:space="preserve">(2) Für den gleichen Zeitraum werden Amtsbezüge nur einmal gewährt. Sind die Bezüge nicht gleich hoch, so stehen die höheren Bezüge zu.</w:t>
      </w:r>
    </w:p>
    <w:p>
      <w:r>
        <w:t xml:space="preserve">(3) Wird ein Mitglied der Bundesregierung nach Artikel 69 Abs. 3 des Grundgesetzes ersucht, die Geschäfte weiterzuführen, so werden die Amtsbezüge bis zum Schluß des Kalendermonats weitergewährt, in dem die Geschäftsführung endet.</w:t>
      </w:r>
    </w:p>
    <w:p>
      <w:r>
        <w:t xml:space="preserve">(4) § 83a des Bundesbeamtengesetzes einschließlich der dazu ergangenen Übergangsvorschriften und § 87a des Bundesbeamtengesetzes sind sinngemäß anzuwenden.</w:t>
      </w:r>
    </w:p>
    <w:p>
      <w:r>
        <w:t xml:space="preserve">(5) (weggefallen)</w:t>
      </w:r>
    </w:p>
    <w:p>
      <w:r>
        <w:rPr>
          <w:color w:val="555555"/>
          <w:sz w:val="17"/>
        </w:rPr>
        <w:t xml:space="preserve">Zitiervorschlag: § 11 BMinG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https://recht.nulegal.eu/gesetze/BMinG/11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