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V. BMinASBDGAnO</w:t>
      </w:r>
    </w:p>
    <w:p>
      <w:r>
        <w:rPr>
          <w:color w:val="555555"/>
          <w:sz w:val="18"/>
        </w:rPr>
        <w:t xml:space="preserve">Anordnung zur Durchführung des Bundesdisziplinargesetzes für den Geschäftsbereich des Bundesministeriums für Arbeit und Soziales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Anordnung tritt am Tage nach der Verkündung in Kraft. Von diesem Zeitpunkt an sind nicht mehr anzuwenden:</w:t>
      </w:r>
    </w:p>
    <w:p>
      <w:pPr>
        <w:ind w:left="420"/>
      </w:pPr>
      <w:r>
        <w:t xml:space="preserve">1. die Anordnung zur Durchführung des Bundesdisziplinargesetzes im Geschäftsbereich des Bundesministeriums für Wirtschaft und Arbeit vom 9. September 2003 (BGBl. I S. 1955), soweit darin Regelungen für Beamtinnen oder Beamte des Bundesarbeitsgerichts und der Bundesanstalt für Arbeitsschutz und Arbeitsmedizin getroffen werden,</w:t>
      </w:r>
    </w:p>
    <w:p>
      <w:pPr>
        <w:ind w:left="420"/>
      </w:pPr>
      <w:r>
        <w:t xml:space="preserve">2. die Anordnung zur Durchführung des Bundesdisziplinargesetzes für den Geschäftsbereich des Bundesministeriums für Gesundheit und Soziale Sicherung vom 29. April 2002 (BGBl. I S. 1541), geändert durch die Anordnung vom 24. Februar 2003 (BGBl. I S. 305), soweit darin Regelungen für Beamtinnen oder Beamte des Bundessozialgerichts und des Bundesversicherungsamtes getroffen werden.</w:t>
      </w:r>
    </w:p>
    <w:p>
      <w:r>
        <w:rPr>
          <w:color w:val="555555"/>
          <w:sz w:val="17"/>
        </w:rPr>
        <w:t xml:space="preserve">Zitiervorschlag: V. BMinASBDGAnO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https://recht.nulegal.eu/gesetze/BMinASBDGAnO/v.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