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IV. BMinASBDGAnO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in den Abschnitten I bis III sowie in Abschnitt V werden hinsichtlich des Bundesarbeitsgerichts nach § 40 Abs. 2 Satz 2 des Arbeitsgerichtsgesetzes in der Fassung der Bekanntmachung vom 2. Juli 1979 (BGBl. I S. 853, 1036), der zuletzt durch Artikel 64 Nr. 2 der Verordnung vom 25. November 2003 (BGBl. I S. 2304) geändert worden ist, in Verbindung mit § 1 des Zuständigkeitsanpassungsgesetzes vom 16. August 2002 (BGBl. I S. 3165) und dem Organisationserlass der Bundeskanzlerin vom 22. November 2005 (BGBl. I S. 3197) im Einvernehmen mit dem Bundesministerium der Justiz getroffen.</w:t>
      </w:r>
    </w:p>
    <w:p>
      <w:r>
        <w:rPr>
          <w:color w:val="555555"/>
          <w:sz w:val="17"/>
        </w:rPr>
        <w:t xml:space="preserve">Zitiervorschlag: IV. BMinASBDGAnO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https://recht.nulegal.eu/gesetze/BMinASBDGAnO/iv.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