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III. BMinASBDGAnO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für Arbeit und Soziales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Einleitung von Disziplinarverfahren ist das Bundesministerium für Arbeit und Soziales unverzüglich zu unterrichten. Dazu ist der nach § 17 Abs. 1 Satz 3 des Bundesdisziplinargesetzes zu fertigende Vermerk in Kopie vorzulegen. Die Berichtspflichten nach § 35 Abs. 1 und § 43 Satz 1 des Bundesdisziplinargesetzes bleiben unberührt.</w:t>
      </w:r>
    </w:p>
    <w:p>
      <w:r>
        <w:rPr>
          <w:color w:val="555555"/>
          <w:sz w:val="17"/>
        </w:rPr>
        <w:t xml:space="preserve">Zitiervorschlag: III. BMinASBDGAnO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https://recht.nulegal.eu/gesetze/BMinASBDGAnO/iii.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