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BMinASBDGAnO</w:t>
      </w:r>
    </w:p>
    <w:p>
      <w:r>
        <w:rPr>
          <w:color w:val="555555"/>
          <w:sz w:val="18"/>
        </w:rPr>
        <w:t xml:space="preserve">Anordnung zur Durchführung des Bundesdisziplinargesetzes für den Geschäftsbereich des Bundesministeriums für Arbeit und Soziales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§ 33 Abs. 5, des § 34 Abs. 2 Satz 2, des § 42 Abs. 1 Satz 2 und des § 84 Satz 2 des Bundesdisziplinargesetzes vom 9. Juli 2001 (BGBl. I S. 1510) wird angeordnet:</w:t>
      </w:r>
    </w:p>
    <w:p>
      <w:r>
        <w:rPr>
          <w:color w:val="555555"/>
          <w:sz w:val="17"/>
        </w:rPr>
        <w:t xml:space="preserve">Zitiervorschlag: Eingangsformel BMinASBDGAnO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https://recht.nulegal.eu/gesetze/BMinASBDGAnO/eingangsformel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