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BMinASBDGAnO 2024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06.04.2024 (konsolidierte Textfassung, kein amtliches Inkrafttretensdatum)</w:t>
      </w:r>
    </w:p>
    <w:p>
      <w:r>
        <w:t xml:space="preserve">Das Bundesministerium für Arbeit und Soziales erlässt</w:t>
      </w:r>
    </w:p>
    <w:p>
      <w:pPr>
        <w:ind w:left="420"/>
      </w:pPr>
      <w:r>
        <w:t xml:space="preserve">– nach § 34 Absatz 5, § 42 Absatz 1 Satz 2 und § 84 Satz 2 des Bundesdisziplinargesetzes vom 9. Juli 2001 (BGBl. I S. 1510), das zuletzt durch Artikel 1 des Gesetzes vom 20. Dezember 2023 (BGBl. 2023 I Nr. 389) geändert worden ist,</w:t>
      </w:r>
    </w:p>
    <w:p>
      <w:pPr>
        <w:ind w:left="420"/>
      </w:pPr>
      <w:r>
        <w:t xml:space="preserve">– nach § 127 Absatz 3 des Bundesbeamtengesetzes vom 5. Februar 2009 (BGBl. I S. 160), das zuletzt durch Artikel 6 des Gesetzes vom 20. Dezember 2023 (BGBl. 2023 I Nr. 389) geändert worden ist, sowie</w:t>
      </w:r>
    </w:p>
    <w:p>
      <w:pPr>
        <w:ind w:left="420"/>
      </w:pPr>
      <w:r>
        <w:t xml:space="preserve">– nach § 40 Absatz 2 Satz 2 des Arbeitsgerichtsgesetzes in der Fassung der Bekanntmachung vom 2. Juli 1979 (BGBl. I S. 853, 1036), der zuletzt durch Artikel 170 der Verordnung vom 31. August 2015 (BGBl. I S. 1474) geändert worden ist, in Verbindung mit § 1 Absatz 2 des Zuständigkeitsanpassungsgesetzes vom 16. August 2002 (BGBl. I S. 3165) und dem Organisationserlass vom 8. Dezember 2021 (BGBl. I S. 5176) im Einvernehmen mit dem Bundesministerium der Justiz,</w:t>
      </w:r>
    </w:p>
    <w:p>
      <w:r>
        <w:t xml:space="preserve">die folgende Anordnung:</w:t>
      </w:r>
    </w:p>
    <w:p>
      <w:r>
        <w:rPr>
          <w:color w:val="555555"/>
          <w:sz w:val="17"/>
        </w:rPr>
        <w:t xml:space="preserve">Zitiervorschlag: Eingangsformel BMinASBDGAnO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https://recht.nulegal.eu/gesetze/BMinASBDGAnO%202024/eingangsformel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