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BMeldDigiV — Abruf, Eintragung oder Löschung der Daten zu Übermittlungssperren</w:t>
      </w:r>
    </w:p>
    <w:p>
      <w:r>
        <w:rPr>
          <w:color w:val="555555"/>
          <w:sz w:val="18"/>
        </w:rPr>
        <w:t xml:space="preserve">Bundesmeldedatendigitalisierungsverordnung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 Die Verwaltungsportale können nach Artikel 15 Absatz 1 der Datenschutz-Grundverordnung für die Erteilung einer Auskunft über das Bestehen einer Übermittlungssperre nach § 42 Absatz 3 Satz 2, § 50 Absatz 1 und 2 in Verbindung mit Absatz 5 des Bundesmeldegesetzes sowie einer nach § 55 Absatz 5 des Bundesmeldegesetzes durch Landesrecht bestimmten Übermittlungssperre durch die zuständige Meldebehörde auf Antrag der betroffenen Person bei der für die alleinige Wohnung oder Haupt- oder Nebenwohnung zuständigen Meldebehörde die folgenden Daten abrufen:</w:t>
      </w:r>
    </w:p>
    <w:p>
      <w:r>
        <w:rPr>
          <w:rFonts w:ascii="Courier New" w:hAnsi="Courier New"/>
          <w:sz w:val="17"/>
        </w:rPr>
        <w:t xml:space="preserve">1.    Übermittlungssperren nach § 42 Absatz 3 Satz 2, § 50 Absatz 1, 2 und 3 in Verbindung mit Absatz 5 des Bundesmeldegesetzes    1801,</w:t>
      </w:r>
    </w:p>
    <w:p>
      <w:r>
        <w:rPr>
          <w:rFonts w:ascii="Courier New" w:hAnsi="Courier New"/>
          <w:sz w:val="17"/>
        </w:rPr>
        <w:t xml:space="preserve">2.    nach Landesrecht zu speichernde Übermittlungssperren.    </w:t>
      </w:r>
    </w:p>
    <w:p>
      <w:r>
        <w:t xml:space="preserve">Zur Aufgabenerfüllung nach Satz 1 hält die Meldebehörde für die Verwaltungsportale die dort genannten Daten zum Abruf im automatisierten Verfahren bereit.</w:t>
      </w:r>
    </w:p>
    <w:p>
      <w:r>
        <w:t xml:space="preserve">(2) Widerspricht die betroffene Person einer Datenübermittlung nach § 42 Absatz 3 Satz 2, § 50 Absatz 5 des Bundesmeldegesetzes oder nach § 55 Absatz 5 des Bundesmeldegesetzes in Verbindung mit Landesrecht, so können die Verwaltungsportale die folgenden Daten über den Widerspruch auf Antrag der betroffenen Person an die für die alleinige Wohnung oder Haupt- oder Nebenwohnung zuständigen Meldebehörde übermitteln:</w:t>
      </w:r>
    </w:p>
    <w:p>
      <w:r>
        <w:rPr>
          <w:rFonts w:ascii="Courier New" w:hAnsi="Courier New"/>
          <w:sz w:val="17"/>
        </w:rPr>
        <w:t xml:space="preserve">1.    rechtlicher Grund des Widerspruchs nach § 42 Absatz 3 Satz 2, § 50 Absatz 1 und 2 in Verbindung mit Absatz 5 des Bundesmeldegesetzes, der zum Eintrag einer Übermittlungssperre führt    1801,</w:t>
      </w:r>
    </w:p>
    <w:p>
      <w:r>
        <w:rPr>
          <w:rFonts w:ascii="Courier New" w:hAnsi="Courier New"/>
          <w:sz w:val="17"/>
        </w:rPr>
        <w:t xml:space="preserve">2.    rechtlicher Grund des Widerspruchs, der zum Eintrag einer zusätzlich zu speichernden Übermittlungssperre nach Landesrecht führt.    </w:t>
      </w:r>
    </w:p>
    <w:p>
      <w:r>
        <w:t xml:space="preserve">(3) Die Verwaltungsportale können auf Antrag der betroffenen Person für die Löschung einer im Melderegister eingetragenen Übermittlungssperre nach § 42 Absatz 3 Satz 2, § 50 Absatz 1 und 2 in Verbindung mit Absatz 5 des Bundesmeldegesetzes sowie nach § 55 Absatz 5 des Bundesmeldegesetzes durch Landesrecht durch die zuständige Meldebehörde die Daten nach Absatz 1 Satz 1 Nummer 1 und 2 an die für die alleinige Wohnung oder Haupt- oder Nebenwohnung zuständige Meldebehörde übermitteln.</w:t>
      </w:r>
    </w:p>
    <w:p>
      <w:r>
        <w:rPr>
          <w:color w:val="555555"/>
          <w:sz w:val="17"/>
        </w:rPr>
        <w:t xml:space="preserve">Zitiervorschlag: § 8 BMeldDigiV</w:t>
      </w:r>
    </w:p>
    <w:p>
      <w:r>
        <w:rPr>
          <w:color w:val="555555"/>
          <w:sz w:val="17"/>
        </w:rPr>
        <w:t xml:space="preserve">Quelle: Bundesamt für Justiz, abgerufen 10.07.2026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https://recht.nulegal.eu/gesetze/BMeldDigiV/8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