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BMeldDigiV — Technische Grundlagen der Datenübermittlungen</w:t>
      </w:r>
    </w:p>
    <w:p>
      <w:r>
        <w:rPr>
          <w:color w:val="555555"/>
          <w:sz w:val="18"/>
        </w:rPr>
        <w:t xml:space="preserve">Bundesmeldedatendigitalisierungsverordnung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(1) Datenübermittlungen nach dieser Verordnung erfolgen elektronisch unter Zugrundelegung des Datenaustauschformats OSCI-XMeld und Nutzung des Übermittlungsprotokolls OSCI-Transport in der im Bundesanzeiger jeweils bekannt gemachten geltenden Fassung. § 3 des Gesetzes über die Verbindung der informationstechnischen Netze des Bundes und der Länder – Gesetz zur Ausführung von Artikel 91c Absatz 4 des Grundgesetzes – vom 10. August 2009 (BGBl. I S. 2702, 2706), das durch Artikel 72 der Verordnung vom 19. Juni 2020 (BGBl. I S. 1328) geändert worden ist, in der jeweils geltenden Fassung bleibt unberührt.</w:t>
      </w:r>
    </w:p>
    <w:p>
      <w:r>
        <w:t xml:space="preserve">(2) Länderübergreifende Datenübermittlungen erfolgen ausschließlich über das Verbindungsnetz nach § 3 des Gesetzes über die Verbindung der informationstechnischen Netze des Bundes und der Länder – Gesetz zur Ausführung von Artikel 91c Absatz 4 des Grundgesetzes.</w:t>
      </w:r>
    </w:p>
    <w:p>
      <w:r>
        <w:t xml:space="preserve">(3) Betreiben mehrere Länder gemeinsam eine Vermittlungsstelle, kann bei Datenübermittlungen zwischen diesen Ländern auch ein anderes Übermittlungsprotokoll eingesetzt werden, wenn es dem Übermittlungsprotokoll OSCI-Transport hinsichtlich der Sicherstellung der Vertraulichkeit, Integrität und Authentizität der übertragenen Daten gleichwertig ist. Die Gleichwertigkeit ist durch die betroffene Vermittlungsstelle zu dokumentieren.</w:t>
      </w:r>
    </w:p>
    <w:p>
      <w:r>
        <w:t xml:space="preserve">(4) Bei der Datenübermittlung innerhalb von Rechenzentren und besonders gesicherten verwaltungseigenen Netzen kann auf die Verwendung des Übermittlungsprotokolls OSCI-Transport verzichtet werden, wenn durch technische und organisatorische Maßnahmen gewährleistet ist, dass die Sicherheitseigenschaften denen von OSCI-Transport gleichwertig sind.</w:t>
      </w:r>
    </w:p>
    <w:p>
      <w:r>
        <w:rPr>
          <w:color w:val="555555"/>
          <w:sz w:val="17"/>
        </w:rPr>
        <w:t xml:space="preserve">Zitiervorschlag: § 2 BMeldDigiV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https://recht.nulegal.eu/gesetze/BMeldDigiV/2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