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BMeldDAV 2022 — Verwendung des Identifikationsmerkmals</w:t>
      </w:r>
    </w:p>
    <w:p>
      <w:r>
        <w:rPr>
          <w:color w:val="555555"/>
          <w:sz w:val="18"/>
        </w:rPr>
        <w:t xml:space="preserve">Bundesmeldedatenabrufverordnung</w:t>
      </w:r>
    </w:p>
    <w:p>
      <w:r>
        <w:rPr>
          <w:color w:val="555555"/>
          <w:sz w:val="18"/>
        </w:rPr>
        <w:t xml:space="preserve">Stand: 01.05.2022 (konsolidierte Textfassung, kein amtliches Inkrafttretensdatum)</w:t>
      </w:r>
    </w:p>
    <w:p>
      <w:r>
        <w:t xml:space="preserve">Das Identifikationsmerkmal nach § 39 Absatz 2 des Bundesmeldegesetzes darf 48 Stunden nach seiner Übermittlung in einer Trefferliste nach § 6 oder einer Ergebnisliste nach § 8 für die Personensuche nach § 4 genutzt werden.</w:t>
      </w:r>
    </w:p>
    <w:p>
      <w:r>
        <w:rPr>
          <w:color w:val="555555"/>
          <w:sz w:val="17"/>
        </w:rPr>
        <w:t xml:space="preserve">Zitiervorschlag: § 9 BMeldDAV 2022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https://recht.nulegal.eu/gesetze/BMeldDAV%202022/9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