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BMeldDAV 2022 — Abrufdaten für die freie Suche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Bei einem Abruf von Meldedaten in der freien Suche nach § 34a Absatz 3 des Bundesmeldegesetzes stellen die durch die Länder zur Sicherstellung des automatisierten Abrufs von Meldedaten bestimmten Stellen oder die Meldebehörden folgende angeforderte Daten der aufgrund der nach § 7 mitgeteilten Auswahldaten festgestellten Personen in einer Ergebnisliste bereit:</w:t>
      </w:r>
    </w:p>
    <w:p>
      <w:r>
        <w:rPr>
          <w:rFonts w:ascii="Courier New" w:hAnsi="Courier New"/>
          <w:sz w:val="17"/>
        </w:rPr>
        <w:t xml:space="preserve">1.    Familienname    0101a bis 0105a,</w:t>
      </w:r>
    </w:p>
    <w:p>
      <w:r>
        <w:rPr>
          <w:rFonts w:ascii="Courier New" w:hAnsi="Courier New"/>
          <w:sz w:val="17"/>
        </w:rPr>
        <w:t xml:space="preserve">2.    frühere Namen    0201a, 0203a,</w:t>
      </w:r>
    </w:p>
    <w:p>
      <w:r>
        <w:rPr>
          <w:rFonts w:ascii="Courier New" w:hAnsi="Courier New"/>
          <w:sz w:val="17"/>
        </w:rPr>
        <w:t xml:space="preserve">3.    Vornamen unter Kennzeichnung des gebräuchlichen Vornamens    0301 bis 0303,</w:t>
      </w:r>
    </w:p>
    <w:p>
      <w:r>
        <w:rPr>
          <w:rFonts w:ascii="Courier New" w:hAnsi="Courier New"/>
          <w:sz w:val="17"/>
        </w:rPr>
        <w:t xml:space="preserve">4.    Doktorgrad    0401,</w:t>
      </w:r>
    </w:p>
    <w:p>
      <w:r>
        <w:rPr>
          <w:rFonts w:ascii="Courier New" w:hAnsi="Courier New"/>
          <w:sz w:val="17"/>
        </w:rPr>
        <w:t xml:space="preserve">5.    Ordensname, Künstlername    0501, 0502,</w:t>
      </w:r>
    </w:p>
    <w:p>
      <w:r>
        <w:rPr>
          <w:rFonts w:ascii="Courier New" w:hAnsi="Courier New"/>
          <w:sz w:val="17"/>
        </w:rPr>
        <w:t xml:space="preserve">6.    Geburtsdatum und Geburtsort sowie bei Geburt im Ausland auch den Staat    0601 bis 0603,</w:t>
      </w:r>
    </w:p>
    <w:p>
      <w:r>
        <w:rPr>
          <w:rFonts w:ascii="Courier New" w:hAnsi="Courier New"/>
          <w:sz w:val="17"/>
        </w:rPr>
        <w:t xml:space="preserve">7.    Geschlecht    0701,</w:t>
      </w:r>
    </w:p>
    <w:p>
      <w:r>
        <w:rPr>
          <w:rFonts w:ascii="Courier New" w:hAnsi="Courier New"/>
          <w:sz w:val="17"/>
        </w:rPr>
        <w:t xml:space="preserve">8.    derzeitige Staatsangehörigkeiten    1001,</w:t>
      </w:r>
    </w:p>
    <w:p>
      <w:r>
        <w:rPr>
          <w:rFonts w:ascii="Courier New" w:hAnsi="Courier New"/>
          <w:sz w:val="17"/>
        </w:rPr>
        <w:t xml:space="preserve">9.    Anschrift der derzeitigen Hauptwohnung oder alleinigen Wohnung    1201 bis 1212,</w:t>
      </w:r>
    </w:p>
    <w:p>
      <w:r>
        <w:rPr>
          <w:rFonts w:ascii="Courier New" w:hAnsi="Courier New"/>
          <w:sz w:val="17"/>
        </w:rPr>
        <w:t xml:space="preserve">10.    Sterbedatum und Sterbeort sowie bei Versterben im Ausland auch den Staat    1901 bis 1905,</w:t>
      </w:r>
    </w:p>
    <w:p>
      <w:r>
        <w:rPr>
          <w:rFonts w:ascii="Courier New" w:hAnsi="Courier New"/>
          <w:sz w:val="17"/>
        </w:rPr>
        <w:t xml:space="preserve">11.    im Falle der Übermittlung von mehr als einem Datensatz auch das Identifikationsmerkmal nach § 39 Absatz 2 des Bundesmeldegesetzes nach den technischen Vorgaben in Nummer 5 der Anlage.</w:t>
      </w:r>
    </w:p>
    <w:p>
      <w:r>
        <w:t xml:space="preserve">Die konkret abzurufenden Daten aus Satz 1 Nummer 1 bis 10 werden durch die abrufende Stelle bestimmt. Zusätzlich zu den nach Satz 1 angeforderten Daten sind die folgenden Hinweise zu übermitteln:</w:t>
      </w:r>
    </w:p>
    <w:p>
      <w:pPr>
        <w:ind w:left="420"/>
      </w:pPr>
      <w:r>
        <w:t xml:space="preserve">1. die Tatsache, dass die Person im Inland verzogen ist,</w:t>
      </w:r>
    </w:p>
    <w:p>
      <w:pPr>
        <w:ind w:left="420"/>
      </w:pPr>
      <w:r>
        <w:t xml:space="preserve">2. die Tatsache, dass die Person unbekannt im Inland verzogen ist,</w:t>
      </w:r>
    </w:p>
    <w:p>
      <w:pPr>
        <w:ind w:left="420"/>
      </w:pPr>
      <w:r>
        <w:t xml:space="preserve">3. die Tatsache, dass die Person in das Ausland verzogen ist,</w:t>
      </w:r>
    </w:p>
    <w:p>
      <w:pPr>
        <w:ind w:left="420"/>
      </w:pPr>
      <w:r>
        <w:t xml:space="preserve">4. die Tatsache, dass die Person verstorben ist,</w:t>
      </w:r>
    </w:p>
    <w:p>
      <w:pPr>
        <w:ind w:left="420"/>
      </w:pPr>
      <w:r>
        <w:t xml:space="preserve">5. die Tatsache, dass die Daten der Person aus dem Datenbestand nach § 13 Absatz 2 des Bundesmeldegesetzes übermittelt werden.</w:t>
      </w:r>
    </w:p>
    <w:p>
      <w:r>
        <w:t xml:space="preserve">(2) Den in § 34 Absatz 4 Satz 1 des Bundesmeldegesetzes genannten Behörden sind über die in Absatz 1 Satz 1 und 3 genannten Daten und Hinweise hinaus die folgenden Daten zu übermitteln:</w:t>
      </w:r>
    </w:p>
    <w:p>
      <w:r>
        <w:rPr>
          <w:rFonts w:ascii="Courier New" w:hAnsi="Courier New"/>
          <w:sz w:val="17"/>
        </w:rPr>
        <w:t xml:space="preserve">1.    Einzugsdatum    1301,</w:t>
      </w:r>
    </w:p>
    <w:p>
      <w:r>
        <w:rPr>
          <w:rFonts w:ascii="Courier New" w:hAnsi="Courier New"/>
          <w:sz w:val="17"/>
        </w:rPr>
        <w:t xml:space="preserve">2.    Ausstellungsbehörde und Ausstellungsdatum, Gültigkeitsdauer, Seriennummer des Personalausweises, des vorläufigen Personalausweises, des Ersatz-Personalausweises oder des anerkannten Passes oder Passersatzpapieres    1700 bis 1709,</w:t>
      </w:r>
    </w:p>
    <w:p>
      <w:r>
        <w:rPr>
          <w:rFonts w:ascii="Courier New" w:hAnsi="Courier New"/>
          <w:sz w:val="17"/>
        </w:rPr>
        <w:t xml:space="preserve">3.    Daten für waffen- und sprengstoffrechtliche Verfahren nach § 3 Absatz 2 Nummer 7 und 8 des Bundesmeldegesetzes    2601, 2603, 2801,</w:t>
      </w:r>
    </w:p>
    <w:p>
      <w:r>
        <w:rPr>
          <w:rFonts w:ascii="Courier New" w:hAnsi="Courier New"/>
          <w:sz w:val="17"/>
        </w:rPr>
        <w:t xml:space="preserve">4.    Daten zum Wohnungsgeber nach § 3 Absatz 2 Nummer 10 des Bundesmeldegesetzes    3001, 3002.</w:t>
      </w:r>
    </w:p>
    <w:p>
      <w:r>
        <w:t xml:space="preserve">Der in § 31 Absatz 7 des Geldwäschegesetzes genannten Zentralstelle für Finanztransaktionsuntersuchungen sind über die in Absatz 1 Satz 1 und 3 genannten Daten und Hinweise hinaus die Daten nach Satz 1 Nummer 2 und 4 zu übermitteln. Die konkret abzurufenden Daten aus Satz 1 Nummer 1 bis 4 werden durch die abrufende Stelle bestimmt.</w:t>
      </w:r>
    </w:p>
    <w:p>
      <w:r>
        <w:t xml:space="preserve">(3) Die Daten von Personen, für die eine Auskunftssperre nach § 51 des Bundesmeldegesetzes im Melderegister eingetragen ist, werden in einer Ergebnisliste nicht übermittelt.</w:t>
      </w:r>
    </w:p>
    <w:p>
      <w:r>
        <w:rPr>
          <w:color w:val="555555"/>
          <w:sz w:val="17"/>
        </w:rPr>
        <w:t xml:space="preserve">Zitiervorschlag: § 8 BMeldDAV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https://recht.nulegal.eu/gesetze/BMeldDAV%202022/8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