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BMeldDAV 2022 — Auswahldaten für die freie Suche</w:t>
      </w:r>
    </w:p>
    <w:p>
      <w:r>
        <w:rPr>
          <w:color w:val="555555"/>
          <w:sz w:val="18"/>
        </w:rPr>
        <w:t xml:space="preserve">Bundesmeldedatenabrufverordnung</w:t>
      </w:r>
    </w:p>
    <w:p>
      <w:r>
        <w:rPr>
          <w:color w:val="555555"/>
          <w:sz w:val="18"/>
        </w:rPr>
        <w:t xml:space="preserve">Stand: 01.11.2025 (konsolidierte Textfassung, kein amtliches Inkrafttretensdatum)</w:t>
      </w:r>
    </w:p>
    <w:p>
      <w:r>
        <w:t xml:space="preserve">(1) Für automatisierte Abrufe von Meldedaten in der freien Suche nach § 34a Absatz 3 des Bundesmeldegesetzes sind von der abrufenden Stelle als Auswahldaten nach § 38 Absatz 2 des Bundesmeldegesetzes folgende Daten zu verwenden:</w:t>
      </w:r>
    </w:p>
    <w:p>
      <w:r>
        <w:rPr>
          <w:rFonts w:ascii="Courier New" w:hAnsi="Courier New"/>
          <w:sz w:val="17"/>
        </w:rPr>
        <w:t xml:space="preserve">1.    Familienname    0101a,</w:t>
      </w:r>
    </w:p>
    <w:p>
      <w:r>
        <w:rPr>
          <w:rFonts w:ascii="Courier New" w:hAnsi="Courier New"/>
          <w:sz w:val="17"/>
        </w:rPr>
        <w:t xml:space="preserve">2.    frühere Namen    0201a, 0203a,</w:t>
      </w:r>
    </w:p>
    <w:p>
      <w:r>
        <w:rPr>
          <w:rFonts w:ascii="Courier New" w:hAnsi="Courier New"/>
          <w:sz w:val="17"/>
        </w:rPr>
        <w:t xml:space="preserve">3.    Vornamen unter Kennzeichnung des gebräuchlichen Vornamens    0301 bis 0303,</w:t>
      </w:r>
    </w:p>
    <w:p>
      <w:r>
        <w:rPr>
          <w:rFonts w:ascii="Courier New" w:hAnsi="Courier New"/>
          <w:sz w:val="17"/>
        </w:rPr>
        <w:t xml:space="preserve">4.    Doktorgrad    0401,</w:t>
      </w:r>
    </w:p>
    <w:p>
      <w:r>
        <w:rPr>
          <w:rFonts w:ascii="Courier New" w:hAnsi="Courier New"/>
          <w:sz w:val="17"/>
        </w:rPr>
        <w:t xml:space="preserve">5.    Ordensname, Künstlername    0501, 0502,</w:t>
      </w:r>
    </w:p>
    <w:p>
      <w:r>
        <w:rPr>
          <w:rFonts w:ascii="Courier New" w:hAnsi="Courier New"/>
          <w:sz w:val="17"/>
        </w:rPr>
        <w:t xml:space="preserve">6.    Geburtsdatum und Geburtsort sowie bei Geburt im Ausland auch den Staat    0601 bis 0603,</w:t>
      </w:r>
    </w:p>
    <w:p>
      <w:r>
        <w:rPr>
          <w:rFonts w:ascii="Courier New" w:hAnsi="Courier New"/>
          <w:sz w:val="17"/>
        </w:rPr>
        <w:t xml:space="preserve">7.    Geschlecht    0701,</w:t>
      </w:r>
    </w:p>
    <w:p>
      <w:r>
        <w:rPr>
          <w:rFonts w:ascii="Courier New" w:hAnsi="Courier New"/>
          <w:sz w:val="17"/>
        </w:rPr>
        <w:t xml:space="preserve">8.    derzeitige Staatsangehörigkeiten    1001,</w:t>
      </w:r>
    </w:p>
    <w:p>
      <w:r>
        <w:rPr>
          <w:rFonts w:ascii="Courier New" w:hAnsi="Courier New"/>
          <w:sz w:val="17"/>
        </w:rPr>
        <w:t xml:space="preserve">9.    derzeitige und frühere Anschriften, gekennzeichnet nach Haupt- und Nebenwohnung, bei Zuzug aus dem Ausland den Staat, bei Wegzug in das Ausland die Zuzugsanschrift im Ausland und den Staat    1200 bis 1213, 1223, 1232, 1233,</w:t>
      </w:r>
    </w:p>
    <w:p>
      <w:r>
        <w:rPr>
          <w:rFonts w:ascii="Courier New" w:hAnsi="Courier New"/>
          <w:sz w:val="17"/>
        </w:rPr>
        <w:t xml:space="preserve">10.    Einzugsdatum, Auszugsdatum    1301, 1306,</w:t>
      </w:r>
    </w:p>
    <w:p>
      <w:r>
        <w:rPr>
          <w:rFonts w:ascii="Courier New" w:hAnsi="Courier New"/>
          <w:sz w:val="17"/>
        </w:rPr>
        <w:t xml:space="preserve">11.    Familienstand, bei Verheirateten oder Lebenspartnern zusätzlich Datum, Ort und Staat der Eheschließung oder der Begründung der Lebenspartnerschaft sowie bei Eheschließung oder Begründung der Lebenspartnerschaft im Ausland auch den Staat    1401 bis 1402a, 1408, 1409,</w:t>
      </w:r>
    </w:p>
    <w:p>
      <w:r>
        <w:rPr>
          <w:rFonts w:ascii="Courier New" w:hAnsi="Courier New"/>
          <w:sz w:val="17"/>
        </w:rPr>
        <w:t xml:space="preserve">12.    Sterbedatum und Sterbeort sowie bei Versterben im Ausland auch den Staat    1901, 1904, 1905.</w:t>
      </w:r>
    </w:p>
    <w:p>
      <w:r>
        <w:t xml:space="preserve">(2) Die in § 34 Absatz 4 Satz 1 des Bundesmeldegesetzes genannten Behörden dürfen über die in Absatz 1 genannten Daten hinaus die folgenden Daten verwenden:</w:t>
      </w:r>
    </w:p>
    <w:p>
      <w:r>
        <w:rPr>
          <w:rFonts w:ascii="Courier New" w:hAnsi="Courier New"/>
          <w:sz w:val="17"/>
        </w:rPr>
        <w:t xml:space="preserve">Daten für waffen- und sprengstoffrechtliche Verfahren nach § 3 Absatz 2 Nummer 7 und 8 des Bundesmeldegesetzes    2601, 2603, 2801.</w:t>
      </w:r>
    </w:p>
    <w:p>
      <w:r>
        <w:t xml:space="preserve">(3) Die abrufende Stelle bestimmt zu den unter Absatz 1 Nummer 1, 2, 3, 5 aufgeführten Daten, ob eine phonetische Suche erfolgen soll. Sofern eine phonetische Suche bestimmt wurde, erfolgt die Suche durch die Auskunft gebende Stelle ausschließlich phonetisch. Die Anwendung von Platzhaltern in der phonetischen Suche ist unzulässig. Die abrufende Stelle bestimmt darüber hinaus in der Suchanfrage, ob das Suchergebnis nur aktuelle, nur inaktuelle oder sowohl aktuelle als auch inaktuelle Daten zur Person oder Anschrift erhalten soll. Für die Auswahl der Aktualität der Anschrift ist als Auswahldatum mindestens die Bezeichnung der Straße anzugeben.</w:t>
      </w:r>
    </w:p>
    <w:p>
      <w:r>
        <w:t xml:space="preserve">(4) Den Verzicht auf eine weitere Bearbeitung der Anfrage durch die Meldebehörde nach § 38 Absatz 5 des Bundesmeldegesetzes übermittelt die abrufende Stelle mit den Auswahldaten.</w:t>
      </w:r>
    </w:p>
    <w:p>
      <w:r>
        <w:t xml:space="preserve">(5) Die abrufende Stelle verwendet alle zur Verfügung stehenden Daten als Auswahldaten.</w:t>
      </w:r>
    </w:p>
    <w:p>
      <w:r>
        <w:t xml:space="preserve">(6) Die Auskunft gebende Stelle muss alle von der abrufenden Stelle angegebenen Auswahldaten und Angaben zur Steuerung für die Suche im Melderegister verwenden. Die abrufende und die Auskunft gebende Stelle haben bei jeder Suchanfrage die technischen Vorgaben in Nummer 6 der Anlage sicherzustellen.</w:t>
      </w:r>
    </w:p>
    <w:p>
      <w:r>
        <w:t xml:space="preserve">(7) Die Verwendung von Platzhaltern ist nach den technischen Vorgaben in Nummer 7 der Anlage für beliebige Zeichen in den Angaben nach Absatz 1 Nummer 1, 2, 3, 5 sowie der Angabe der Straße (DSMeld Datenblatt 1205) aus Absatz 1 Nummer 9 zulässig.</w:t>
      </w:r>
    </w:p>
    <w:p>
      <w:r>
        <w:rPr>
          <w:color w:val="555555"/>
          <w:sz w:val="17"/>
        </w:rPr>
        <w:t xml:space="preserve">Zitiervorschlag: § 7 BMeldDAV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https://recht.nulegal.eu/gesetze/BMeldDAV%202022/7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