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BMeldDAV 2022 — Trefferliste für die Personensuche</w:t>
      </w:r>
    </w:p>
    <w:p>
      <w:r>
        <w:rPr>
          <w:color w:val="555555"/>
          <w:sz w:val="18"/>
        </w:rPr>
        <w:t xml:space="preserve">Bundesmeldedatenabrufverordnung</w:t>
      </w:r>
    </w:p>
    <w:p>
      <w:r>
        <w:rPr>
          <w:color w:val="555555"/>
          <w:sz w:val="18"/>
        </w:rPr>
        <w:t xml:space="preserve">Stand: 01.11.2025 (konsolidierte Textfassung, kein amtliches Inkrafttretensdatum)</w:t>
      </w:r>
    </w:p>
    <w:p>
      <w:r>
        <w:t xml:space="preserve">(1) Werden bei einem Datenabruf in der Personensuche nach § 34a Absatz 2 des Bundesmeldegesetzes Datensätze unterschiedlicher Personen gefunden, wird von den durch die Länder zur Sicherstellung des automatisierten Abrufs von Meldedaten bestimmten Stellen oder den Meldebehörden eine Trefferliste übermittelt. In der Trefferliste sind die folgenden Daten der gefundenen Personen zu übermitteln:</w:t>
      </w:r>
    </w:p>
    <w:p>
      <w:r>
        <w:rPr>
          <w:rFonts w:ascii="Courier New" w:hAnsi="Courier New"/>
          <w:sz w:val="17"/>
        </w:rPr>
        <w:t xml:space="preserve">1.    Familienname    0101a bis 0105a,</w:t>
      </w:r>
    </w:p>
    <w:p>
      <w:r>
        <w:rPr>
          <w:rFonts w:ascii="Courier New" w:hAnsi="Courier New"/>
          <w:sz w:val="17"/>
        </w:rPr>
        <w:t xml:space="preserve">2.    frühere Namen    0201a, 0203a,</w:t>
      </w:r>
    </w:p>
    <w:p>
      <w:r>
        <w:rPr>
          <w:rFonts w:ascii="Courier New" w:hAnsi="Courier New"/>
          <w:sz w:val="17"/>
        </w:rPr>
        <w:t xml:space="preserve">3.    Vornamen    0301, 0303,</w:t>
      </w:r>
    </w:p>
    <w:p>
      <w:r>
        <w:rPr>
          <w:rFonts w:ascii="Courier New" w:hAnsi="Courier New"/>
          <w:sz w:val="17"/>
        </w:rPr>
        <w:t xml:space="preserve">4.    Geburtsdatum    0601,</w:t>
      </w:r>
    </w:p>
    <w:p>
      <w:r>
        <w:rPr>
          <w:rFonts w:ascii="Courier New" w:hAnsi="Courier New"/>
          <w:sz w:val="17"/>
        </w:rPr>
        <w:t xml:space="preserve">5.    derzeitige Anschrift der Hauptwohnung oder alleinigen Wohnung    1201 bis 1209, 1213a,</w:t>
      </w:r>
    </w:p>
    <w:p>
      <w:r>
        <w:rPr>
          <w:rFonts w:ascii="Courier New" w:hAnsi="Courier New"/>
          <w:sz w:val="17"/>
        </w:rPr>
        <w:t xml:space="preserve">6.    Identifikationsmerkmal nach § 39 Absatz 2 des Bundesmeldegesetzes nach den technischen Vorgaben in Nummer 5 der Anlage.</w:t>
      </w:r>
    </w:p>
    <w:p>
      <w:r>
        <w:t xml:space="preserve">Zusätzlich zu den Daten nach Satz 2 sind in der Trefferliste die folgenden Hinweise zu übermitteln:</w:t>
      </w:r>
    </w:p>
    <w:p>
      <w:pPr>
        <w:ind w:left="420"/>
      </w:pPr>
      <w:r>
        <w:t xml:space="preserve">1. die Tatsache, dass die Person im Inland verzogen ist,</w:t>
      </w:r>
    </w:p>
    <w:p>
      <w:pPr>
        <w:ind w:left="420"/>
      </w:pPr>
      <w:r>
        <w:t xml:space="preserve">2. die Tatsache, dass die Person unbekannt im Inland verzogen ist,</w:t>
      </w:r>
    </w:p>
    <w:p>
      <w:pPr>
        <w:ind w:left="420"/>
      </w:pPr>
      <w:r>
        <w:t xml:space="preserve">3. die Tatsache, dass die Person in das Ausland verzogen ist,</w:t>
      </w:r>
    </w:p>
    <w:p>
      <w:pPr>
        <w:ind w:left="420"/>
      </w:pPr>
      <w:r>
        <w:t xml:space="preserve">4. die Tatsache, dass die Person verstorben ist.</w:t>
      </w:r>
    </w:p>
    <w:p>
      <w:r>
        <w:t xml:space="preserve">(2) Die Daten von Personen, für die eine Auskunftssperre nach § 51 des Bundesmeldegesetzes im Melderegister eingetragen ist, werden in der Trefferliste nicht übermittelt.</w:t>
      </w:r>
    </w:p>
    <w:p>
      <w:r>
        <w:rPr>
          <w:color w:val="555555"/>
          <w:sz w:val="17"/>
        </w:rPr>
        <w:t xml:space="preserve">Zitiervorschlag: § 6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