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BMeldDAV 2022 — Abrufdaten für die Personensuche</w:t>
      </w:r>
    </w:p>
    <w:p>
      <w:r>
        <w:rPr>
          <w:color w:val="555555"/>
          <w:sz w:val="18"/>
        </w:rPr>
        <w:t xml:space="preserve">Bundesmeldedatenabrufverordnung</w:t>
      </w:r>
    </w:p>
    <w:p>
      <w:r>
        <w:rPr>
          <w:color w:val="555555"/>
          <w:sz w:val="18"/>
        </w:rPr>
        <w:t xml:space="preserve">Stand: 01.11.2025 (konsolidierte Textfassung, kein amtliches Inkrafttretensdatum)</w:t>
      </w:r>
    </w:p>
    <w:p>
      <w:r>
        <w:t xml:space="preserve">(1) Bei einem Abruf von Meldedaten in der Personensuche nach § 34a Absatz 2 des Bundesmeldegesetzes stellen die durch die Länder zur Sicherstellung des automatisierten Abrufs von Meldedaten bestimmten Stellen oder die Meldebehörden folgende angeforderte Daten der aufgrund der nach § 4 mitgeteilten Auswahldaten eindeutig festgestellten Person für den Abruf bereit:</w:t>
      </w:r>
    </w:p>
    <w:p>
      <w:r>
        <w:rPr>
          <w:rFonts w:ascii="Courier New" w:hAnsi="Courier New"/>
          <w:sz w:val="17"/>
        </w:rPr>
        <w:t xml:space="preserve">1.    Familienname    0101a bis 0105a,</w:t>
      </w:r>
    </w:p>
    <w:p>
      <w:r>
        <w:rPr>
          <w:rFonts w:ascii="Courier New" w:hAnsi="Courier New"/>
          <w:sz w:val="17"/>
        </w:rPr>
        <w:t xml:space="preserve">2.    frühere Namen    0201a bis 0206,</w:t>
      </w:r>
    </w:p>
    <w:p>
      <w:r>
        <w:rPr>
          <w:rFonts w:ascii="Courier New" w:hAnsi="Courier New"/>
          <w:sz w:val="17"/>
        </w:rPr>
        <w:t xml:space="preserve">3.    Vornamen unter Kennzeichnung des gebräuchlichen Vornamens    0301 bis 0305,</w:t>
      </w:r>
    </w:p>
    <w:p>
      <w:r>
        <w:rPr>
          <w:rFonts w:ascii="Courier New" w:hAnsi="Courier New"/>
          <w:sz w:val="17"/>
        </w:rPr>
        <w:t xml:space="preserve">4.    Doktorgrad    0401,</w:t>
      </w:r>
    </w:p>
    <w:p>
      <w:r>
        <w:rPr>
          <w:rFonts w:ascii="Courier New" w:hAnsi="Courier New"/>
          <w:sz w:val="17"/>
        </w:rPr>
        <w:t xml:space="preserve">5.    Ordensname, Künstlername    0501, 0502,</w:t>
      </w:r>
    </w:p>
    <w:p>
      <w:r>
        <w:rPr>
          <w:rFonts w:ascii="Courier New" w:hAnsi="Courier New"/>
          <w:sz w:val="17"/>
        </w:rPr>
        <w:t xml:space="preserve">6.    Geburtsdatum und Geburtsort sowie bei Geburt im Ausland auch den Staat    0601 bis 0606,</w:t>
      </w:r>
    </w:p>
    <w:p>
      <w:r>
        <w:rPr>
          <w:rFonts w:ascii="Courier New" w:hAnsi="Courier New"/>
          <w:sz w:val="17"/>
        </w:rPr>
        <w:t xml:space="preserve">7.    Geschlecht    0701,</w:t>
      </w:r>
    </w:p>
    <w:p>
      <w:r>
        <w:rPr>
          <w:rFonts w:ascii="Courier New" w:hAnsi="Courier New"/>
          <w:sz w:val="17"/>
        </w:rPr>
        <w:t xml:space="preserve">8.    derzeitige Staatsangehörigkeiten    1001 bis 1004,</w:t>
      </w:r>
    </w:p>
    <w:p>
      <w:r>
        <w:rPr>
          <w:rFonts w:ascii="Courier New" w:hAnsi="Courier New"/>
          <w:sz w:val="17"/>
        </w:rPr>
        <w:t xml:space="preserve">9.    derzeitige und frühere Anschriften, gekennzeichnet nach Haupt- und Nebenwohnung, bei Zuzug aus dem Ausland den Staat, bei Wegzug in das Ausland die Zuzugsanschrift im Ausland und den Staat    1200 bis 1213a, 1223, 1232, 1233,</w:t>
      </w:r>
    </w:p>
    <w:p>
      <w:r>
        <w:rPr>
          <w:rFonts w:ascii="Courier New" w:hAnsi="Courier New"/>
          <w:sz w:val="17"/>
        </w:rPr>
        <w:t xml:space="preserve">10.    Einzugsdatum, Auszugsdatum, Datum des letzten Wegzugs aus einer Wohnung im Inland sowie Datum des letzten Zuzugs aus dem Ausland    1301 bis 1314,</w:t>
      </w:r>
    </w:p>
    <w:p>
      <w:r>
        <w:rPr>
          <w:rFonts w:ascii="Courier New" w:hAnsi="Courier New"/>
          <w:sz w:val="17"/>
        </w:rPr>
        <w:t xml:space="preserve">11.    zum gesetzlichen Vertreter    0001,</w:t>
      </w:r>
    </w:p>
    <w:p>
      <w:r>
        <w:rPr>
          <w:rFonts w:ascii="Courier New" w:hAnsi="Courier New"/>
          <w:sz w:val="17"/>
        </w:rPr>
        <w:t xml:space="preserve">    a)    Familienname    0902a,</w:t>
      </w:r>
    </w:p>
    <w:p>
      <w:r>
        <w:rPr>
          <w:rFonts w:ascii="Courier New" w:hAnsi="Courier New"/>
          <w:sz w:val="17"/>
        </w:rPr>
        <w:t xml:space="preserve">    b)    Vornamen    0904,</w:t>
      </w:r>
    </w:p>
    <w:p>
      <w:r>
        <w:rPr>
          <w:rFonts w:ascii="Courier New" w:hAnsi="Courier New"/>
          <w:sz w:val="17"/>
        </w:rPr>
        <w:t xml:space="preserve">    c)    Doktorgrad    0905,</w:t>
      </w:r>
    </w:p>
    <w:p>
      <w:r>
        <w:rPr>
          <w:rFonts w:ascii="Courier New" w:hAnsi="Courier New"/>
          <w:sz w:val="17"/>
        </w:rPr>
        <w:t xml:space="preserve">    d)    Anschrift    0907a, 1200 bis 1212,</w:t>
      </w:r>
    </w:p>
    <w:p>
      <w:r>
        <w:rPr>
          <w:rFonts w:ascii="Courier New" w:hAnsi="Courier New"/>
          <w:sz w:val="17"/>
        </w:rPr>
        <w:t xml:space="preserve">    e)    Geburtsdatum    0906,</w:t>
      </w:r>
    </w:p>
    <w:p>
      <w:r>
        <w:rPr>
          <w:rFonts w:ascii="Courier New" w:hAnsi="Courier New"/>
          <w:sz w:val="17"/>
        </w:rPr>
        <w:t xml:space="preserve">    f)    Geschlecht    0917,</w:t>
      </w:r>
    </w:p>
    <w:p>
      <w:r>
        <w:rPr>
          <w:rFonts w:ascii="Courier New" w:hAnsi="Courier New"/>
          <w:sz w:val="17"/>
        </w:rPr>
        <w:t xml:space="preserve">    g)    Sterbedatum    0915,</w:t>
      </w:r>
    </w:p>
    <w:p>
      <w:r>
        <w:rPr>
          <w:rFonts w:ascii="Courier New" w:hAnsi="Courier New"/>
          <w:sz w:val="17"/>
        </w:rPr>
        <w:t xml:space="preserve">    h)    Datum der Beendigung der gesetzlichen Vertretung    0916,</w:t>
      </w:r>
    </w:p>
    <w:p>
      <w:r>
        <w:rPr>
          <w:rFonts w:ascii="Courier New" w:hAnsi="Courier New"/>
          <w:sz w:val="17"/>
        </w:rPr>
        <w:t xml:space="preserve">12.    Familienstand, bei Verheirateten oder Lebenspartnern zusätzlich Datum, Ort und Staat der Eheschließung oder der Begründung der Lebenspartnerschaft sowie bei Eheschließung oder Begründung der Lebenspartnerschaft im Ausland auch den Staat    1401 bis 1409,</w:t>
      </w:r>
    </w:p>
    <w:p>
      <w:r>
        <w:rPr>
          <w:rFonts w:ascii="Courier New" w:hAnsi="Courier New"/>
          <w:sz w:val="17"/>
        </w:rPr>
        <w:t xml:space="preserve">13.    zum Ehegatten oder Lebenspartner    </w:t>
      </w:r>
    </w:p>
    <w:p>
      <w:r>
        <w:rPr>
          <w:rFonts w:ascii="Courier New" w:hAnsi="Courier New"/>
          <w:sz w:val="17"/>
        </w:rPr>
        <w:t xml:space="preserve">    a)    Familienname    1501a, 1517a,</w:t>
      </w:r>
    </w:p>
    <w:p>
      <w:r>
        <w:rPr>
          <w:rFonts w:ascii="Courier New" w:hAnsi="Courier New"/>
          <w:sz w:val="17"/>
        </w:rPr>
        <w:t xml:space="preserve">    b)    Vornamen    1503, 1519,</w:t>
      </w:r>
    </w:p>
    <w:p>
      <w:r>
        <w:rPr>
          <w:rFonts w:ascii="Courier New" w:hAnsi="Courier New"/>
          <w:sz w:val="17"/>
        </w:rPr>
        <w:t xml:space="preserve">    c)    Geburtsname    1502b, 1518b,</w:t>
      </w:r>
    </w:p>
    <w:p>
      <w:r>
        <w:rPr>
          <w:rFonts w:ascii="Courier New" w:hAnsi="Courier New"/>
          <w:sz w:val="17"/>
        </w:rPr>
        <w:t xml:space="preserve">    d)    Doktorgrad    1504, 1520,</w:t>
      </w:r>
    </w:p>
    <w:p>
      <w:r>
        <w:rPr>
          <w:rFonts w:ascii="Courier New" w:hAnsi="Courier New"/>
          <w:sz w:val="17"/>
        </w:rPr>
        <w:t xml:space="preserve">    e)    Geburtsdatum    1505, 1521,</w:t>
      </w:r>
    </w:p>
    <w:p>
      <w:r>
        <w:rPr>
          <w:rFonts w:ascii="Courier New" w:hAnsi="Courier New"/>
          <w:sz w:val="17"/>
        </w:rPr>
        <w:t xml:space="preserve">    f)    Geschlecht    1506, 1522,</w:t>
      </w:r>
    </w:p>
    <w:p>
      <w:r>
        <w:rPr>
          <w:rFonts w:ascii="Courier New" w:hAnsi="Courier New"/>
          <w:sz w:val="17"/>
        </w:rPr>
        <w:t xml:space="preserve">    g)    derzeitige Anschriften und Wegzugsanschrift    1200 bis 1213a, 1508, 1524,</w:t>
      </w:r>
    </w:p>
    <w:p>
      <w:r>
        <w:rPr>
          <w:rFonts w:ascii="Courier New" w:hAnsi="Courier New"/>
          <w:sz w:val="17"/>
        </w:rPr>
        <w:t xml:space="preserve">    h)    Sterbedatum    1516, 1532,</w:t>
      </w:r>
    </w:p>
    <w:p>
      <w:r>
        <w:rPr>
          <w:rFonts w:ascii="Courier New" w:hAnsi="Courier New"/>
          <w:sz w:val="17"/>
        </w:rPr>
        <w:t xml:space="preserve">14.    zu minderjährigen Kindern    </w:t>
      </w:r>
    </w:p>
    <w:p>
      <w:r>
        <w:rPr>
          <w:rFonts w:ascii="Courier New" w:hAnsi="Courier New"/>
          <w:sz w:val="17"/>
        </w:rPr>
        <w:t xml:space="preserve">    a)    Familienname    1601a,</w:t>
      </w:r>
    </w:p>
    <w:p>
      <w:r>
        <w:rPr>
          <w:rFonts w:ascii="Courier New" w:hAnsi="Courier New"/>
          <w:sz w:val="17"/>
        </w:rPr>
        <w:t xml:space="preserve">    b)    Vornamen    1603,</w:t>
      </w:r>
    </w:p>
    <w:p>
      <w:r>
        <w:rPr>
          <w:rFonts w:ascii="Courier New" w:hAnsi="Courier New"/>
          <w:sz w:val="17"/>
        </w:rPr>
        <w:t xml:space="preserve">    c)    Geburtsdatum    1604,</w:t>
      </w:r>
    </w:p>
    <w:p>
      <w:r>
        <w:rPr>
          <w:rFonts w:ascii="Courier New" w:hAnsi="Courier New"/>
          <w:sz w:val="17"/>
        </w:rPr>
        <w:t xml:space="preserve">    d)    Geschlecht    1604a,</w:t>
      </w:r>
    </w:p>
    <w:p>
      <w:r>
        <w:rPr>
          <w:rFonts w:ascii="Courier New" w:hAnsi="Courier New"/>
          <w:sz w:val="17"/>
        </w:rPr>
        <w:t xml:space="preserve">    e)    Anschrift im Inland    1200 bis 1212,</w:t>
      </w:r>
    </w:p>
    <w:p>
      <w:r>
        <w:rPr>
          <w:rFonts w:ascii="Courier New" w:hAnsi="Courier New"/>
          <w:sz w:val="17"/>
        </w:rPr>
        <w:t xml:space="preserve">    f)    Sterbedatum    1605,</w:t>
      </w:r>
    </w:p>
    <w:p>
      <w:r>
        <w:rPr>
          <w:rFonts w:ascii="Courier New" w:hAnsi="Courier New"/>
          <w:sz w:val="17"/>
        </w:rPr>
        <w:t xml:space="preserve">15.    Sterbedatum und Sterbeort sowie bei Versterben im Ausland auch den Staat    1901 bis 1905.</w:t>
      </w:r>
    </w:p>
    <w:p>
      <w:r>
        <w:t xml:space="preserve">Die konkret abzurufenden Daten aus Satz 1 Nummer 1 bis 15 werden durch die abrufende Stelle bestimmt. Zusätzlich zu den durch die abrufende Stelle konkret angeforderten Daten nach Satz 1 werden die folgenden Daten und Hinweise übermittelt:</w:t>
      </w:r>
    </w:p>
    <w:p>
      <w:pPr>
        <w:ind w:left="420"/>
      </w:pPr>
      <w:r>
        <w:t xml:space="preserve">1. zu den jeweils übermittelten Anschriften die im Melderegister nach § 52 des Bundesmeldegesetzes eingerichteten bedingten Sperrvermerke (DSMeld Datenblatt 1801a),</w:t>
      </w:r>
    </w:p>
    <w:p>
      <w:pPr>
        <w:ind w:left="420"/>
      </w:pPr>
      <w:r>
        <w:t xml:space="preserve">2. die Tatsache, dass die Person im Inland verzogen ist, sofern die Person im Inland verzogen ist und die abrufende Stelle keine Informationen zur aktuellen Anschrift angefordert hat,</w:t>
      </w:r>
    </w:p>
    <w:p>
      <w:pPr>
        <w:ind w:left="420"/>
      </w:pPr>
      <w:r>
        <w:t xml:space="preserve">3. die Tatsache, dass die Person unbekannt im Inland verzogen ist, sofern die betroffene Person in das unbekannte Inland verzogen ist und die abrufende Stelle keine Informationen zur aktuellen Anschrift angefordert hat,</w:t>
      </w:r>
    </w:p>
    <w:p>
      <w:pPr>
        <w:ind w:left="420"/>
      </w:pPr>
      <w:r>
        <w:t xml:space="preserve">4. die Tatsache, dass die Person in das Ausland verzogen ist, sofern die betroffene Person in das Ausland verzogen ist und die abrufende Stelle keine Informationen zur Auslandsanschrift oder zum Wegzugsstaat angefordert hat,</w:t>
      </w:r>
    </w:p>
    <w:p>
      <w:pPr>
        <w:ind w:left="420"/>
      </w:pPr>
      <w:r>
        <w:t xml:space="preserve">5. die Tatsache, dass die Person verstorben ist, sofern die betroffene Person verstorben ist und die abrufende Stelle keine Informationen zu den Sterbedaten angefordert hat,</w:t>
      </w:r>
    </w:p>
    <w:p>
      <w:pPr>
        <w:ind w:left="420"/>
      </w:pPr>
      <w:r>
        <w:t xml:space="preserve">6. die Tatsache, dass die Daten der Person aus dem Datenbestand nach § 13 Absatz 2 des Bundesmeldegesetzes übermittelt werden.</w:t>
      </w:r>
    </w:p>
    <w:p>
      <w:r>
        <w:t xml:space="preserve">(2) Den in § 34 Absatz 4 Satz 1 des Bundesmeldegesetzes genannten Behörden dürfen über die in Absatz 1 Satz 1 und 3 genannten Daten und Hinweise hinaus die folgenden Daten übermittelt werden:</w:t>
      </w:r>
    </w:p>
    <w:p>
      <w:r>
        <w:rPr>
          <w:rFonts w:ascii="Courier New" w:hAnsi="Courier New"/>
          <w:sz w:val="17"/>
        </w:rPr>
        <w:t xml:space="preserve">1.    Ausstellungsbehörde, Ausstellungsdatum, Gültigkeitsdauer, Seriennummer des Personalausweises, des vorläufigen Personalausweises, des Ersatz-Personalausweises oder des anerkannten Passes oder Passersatzpapieres    1700 bis 1709,</w:t>
      </w:r>
    </w:p>
    <w:p>
      <w:r>
        <w:rPr>
          <w:rFonts w:ascii="Courier New" w:hAnsi="Courier New"/>
          <w:sz w:val="17"/>
        </w:rPr>
        <w:t xml:space="preserve">2.    Tatsachen nach § 3 Absatz 2 Nummer 4 des Bundesmeldegesetzes zu den Pass- und Ausweisdaten    2301, 2302,</w:t>
      </w:r>
    </w:p>
    <w:p>
      <w:r>
        <w:rPr>
          <w:rFonts w:ascii="Courier New" w:hAnsi="Courier New"/>
          <w:sz w:val="17"/>
        </w:rPr>
        <w:t xml:space="preserve">3.    Daten für waffen- und sprengstoffrechtliche Verfahren nach § 3 Absatz 2 Nummer 7 und 8 des Bundesmeldegesetzes    2601 bis 2604, 2801, 2802,</w:t>
      </w:r>
    </w:p>
    <w:p>
      <w:r>
        <w:rPr>
          <w:rFonts w:ascii="Courier New" w:hAnsi="Courier New"/>
          <w:sz w:val="17"/>
        </w:rPr>
        <w:t xml:space="preserve">4.    Daten zum Wohnungsgeber nach § 3 Absatz 2 Nummer 10 des Bundesmeldegesetzes    3001, 3002.</w:t>
      </w:r>
    </w:p>
    <w:p>
      <w:r>
        <w:t xml:space="preserve">Der in § 31 Absatz 7 des Geldwäschegesetzes genannten Zentralstelle für Finanztransaktionsuntersuchungen dürfen über die in Absatz 1 Satz 1 und 3 genannten Daten und Hinweise hinaus die Daten nach Satz 1 Nummer 1, 2 und 4 übermittelt werden. Die konkret abzurufenden Daten aus Satz 1 Nummer 1 bis 4 werden durch die abrufende Stelle bestimmt.</w:t>
      </w:r>
    </w:p>
    <w:p>
      <w:r>
        <w:rPr>
          <w:color w:val="555555"/>
          <w:sz w:val="17"/>
        </w:rPr>
        <w:t xml:space="preserve">Zitiervorschlag: § 5 BMeldDAV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https://recht.nulegal.eu/gesetze/BMeldDAV%202022/5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