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BMeldDAV 2022 — Auswahldaten für die Personensuche</w:t>
      </w:r>
    </w:p>
    <w:p>
      <w:r>
        <w:rPr>
          <w:color w:val="555555"/>
          <w:sz w:val="18"/>
        </w:rPr>
        <w:t xml:space="preserve">Bundesmeldedatenabrufverordnung</w:t>
      </w:r>
    </w:p>
    <w:p>
      <w:r>
        <w:rPr>
          <w:color w:val="555555"/>
          <w:sz w:val="18"/>
        </w:rPr>
        <w:t xml:space="preserve">Stand: 01.11.2025 (konsolidierte Textfassung, kein amtliches Inkrafttretensdatum)</w:t>
      </w:r>
    </w:p>
    <w:p>
      <w:r>
        <w:t xml:space="preserve">(1) Für automatisierte Abrufe von Meldedaten in der Personensuche nach § 34a Absatz 2 Satz 1 des Bundesmeldegesetzes sind von der abrufenden Stelle die folgenden Auswahldaten nach § 38 Absatz 1 des Bundesmeldegesetzes zu verwenden:</w:t>
      </w:r>
    </w:p>
    <w:p>
      <w:r>
        <w:rPr>
          <w:rFonts w:ascii="Courier New" w:hAnsi="Courier New"/>
          <w:sz w:val="17"/>
        </w:rPr>
        <w:t xml:space="preserve">1.    hinsichtlich des Namens    </w:t>
      </w:r>
    </w:p>
    <w:p>
      <w:r>
        <w:rPr>
          <w:rFonts w:ascii="Courier New" w:hAnsi="Courier New"/>
          <w:sz w:val="17"/>
        </w:rPr>
        <w:t xml:space="preserve">    a)    Familienname und mindestens ein Vorname    0101a und 0301 bis 0303,</w:t>
      </w:r>
    </w:p>
    <w:p>
      <w:r>
        <w:rPr>
          <w:rFonts w:ascii="Courier New" w:hAnsi="Courier New"/>
          <w:sz w:val="17"/>
        </w:rPr>
        <w:t xml:space="preserve">    b)    früherer Name und mindestens ein Vorname    0201a, 0203a und 0301 bis 0303,</w:t>
      </w:r>
    </w:p>
    <w:p>
      <w:r>
        <w:rPr>
          <w:rFonts w:ascii="Courier New" w:hAnsi="Courier New"/>
          <w:sz w:val="17"/>
        </w:rPr>
        <w:t xml:space="preserve">    c)    Ordensname oder    0501,</w:t>
      </w:r>
    </w:p>
    <w:p>
      <w:r>
        <w:rPr>
          <w:rFonts w:ascii="Courier New" w:hAnsi="Courier New"/>
          <w:sz w:val="17"/>
        </w:rPr>
        <w:t xml:space="preserve">    d)    Künstlername    0502,</w:t>
      </w:r>
    </w:p>
    <w:p>
      <w:r>
        <w:rPr>
          <w:rFonts w:ascii="Courier New" w:hAnsi="Courier New"/>
          <w:sz w:val="17"/>
        </w:rPr>
        <w:t xml:space="preserve">2.    sowie zusätzlich zu den Angaben nach Nummer 1    </w:t>
      </w:r>
    </w:p>
    <w:p>
      <w:r>
        <w:rPr>
          <w:rFonts w:ascii="Courier New" w:hAnsi="Courier New"/>
          <w:sz w:val="17"/>
        </w:rPr>
        <w:t xml:space="preserve">    a)    eine Anschrift, bestehend aus:    </w:t>
      </w:r>
    </w:p>
    <w:p>
      <w:r>
        <w:rPr>
          <w:rFonts w:ascii="Courier New" w:hAnsi="Courier New"/>
          <w:sz w:val="17"/>
        </w:rPr>
        <w:t xml:space="preserve">        aa)    dem Gemeindeschlüssel    1201,</w:t>
      </w:r>
    </w:p>
    <w:p>
      <w:r>
        <w:rPr>
          <w:rFonts w:ascii="Courier New" w:hAnsi="Courier New"/>
          <w:sz w:val="17"/>
        </w:rPr>
        <w:t xml:space="preserve">        bb)    der Postleitzahl und    1202,</w:t>
      </w:r>
    </w:p>
    <w:p>
      <w:r>
        <w:rPr>
          <w:rFonts w:ascii="Courier New" w:hAnsi="Courier New"/>
          <w:sz w:val="17"/>
        </w:rPr>
        <w:t xml:space="preserve">        cc)    der Straße sowie    1205,</w:t>
      </w:r>
    </w:p>
    <w:p>
      <w:r>
        <w:rPr>
          <w:rFonts w:ascii="Courier New" w:hAnsi="Courier New"/>
          <w:sz w:val="17"/>
        </w:rPr>
        <w:t xml:space="preserve">        dd)    der Hausnummer, sofern vorhanden,    1206, 1208, 1209,</w:t>
      </w:r>
    </w:p>
    <w:p>
      <w:r>
        <w:rPr>
          <w:rFonts w:ascii="Courier New" w:hAnsi="Courier New"/>
          <w:sz w:val="17"/>
        </w:rPr>
        <w:t xml:space="preserve">    oder    </w:t>
      </w:r>
    </w:p>
    <w:p>
      <w:r>
        <w:rPr>
          <w:rFonts w:ascii="Courier New" w:hAnsi="Courier New"/>
          <w:sz w:val="17"/>
        </w:rPr>
        <w:t xml:space="preserve">    b)    ein Wohnort bestehend aus dem Gemeindeschlüssel und mindestens eines der folgenden Daten:    1201,</w:t>
      </w:r>
    </w:p>
    <w:p>
      <w:r>
        <w:rPr>
          <w:rFonts w:ascii="Courier New" w:hAnsi="Courier New"/>
          <w:sz w:val="17"/>
        </w:rPr>
        <w:t xml:space="preserve">        aa)    Straße    1205,</w:t>
      </w:r>
    </w:p>
    <w:p>
      <w:r>
        <w:rPr>
          <w:rFonts w:ascii="Courier New" w:hAnsi="Courier New"/>
          <w:sz w:val="17"/>
        </w:rPr>
        <w:t xml:space="preserve">        bb)    Geburtsdatum    0601,</w:t>
      </w:r>
    </w:p>
    <w:p>
      <w:r>
        <w:rPr>
          <w:rFonts w:ascii="Courier New" w:hAnsi="Courier New"/>
          <w:sz w:val="17"/>
        </w:rPr>
        <w:t xml:space="preserve">        cc)    Geburtsort sowie bei Geburt im Ausland auch den Staat    0602, 0603,</w:t>
      </w:r>
    </w:p>
    <w:p>
      <w:r>
        <w:rPr>
          <w:rFonts w:ascii="Courier New" w:hAnsi="Courier New"/>
          <w:sz w:val="17"/>
        </w:rPr>
        <w:t xml:space="preserve">        dd)    Geschlecht    0701,</w:t>
      </w:r>
    </w:p>
    <w:p>
      <w:r>
        <w:rPr>
          <w:rFonts w:ascii="Courier New" w:hAnsi="Courier New"/>
          <w:sz w:val="17"/>
        </w:rPr>
        <w:t xml:space="preserve">        ee)    Sterbedatum    1901,</w:t>
      </w:r>
    </w:p>
    <w:p>
      <w:r>
        <w:rPr>
          <w:rFonts w:ascii="Courier New" w:hAnsi="Courier New"/>
          <w:sz w:val="17"/>
        </w:rPr>
        <w:t xml:space="preserve">        ff)    Sterbeort sowie bei Versterben im Ausland auch den Staat    1904, 1905.</w:t>
      </w:r>
    </w:p>
    <w:p>
      <w:r>
        <w:t xml:space="preserve">Als zusätzliches Auswahldatum darf unter den Voraussetzungen des § 38 Absatz 1 Satz 2 des Bundesmeldegesetzes die AZR-Nummer (Datenblatt 1712) verwendet werden. Die Verwendung einer Vielzahl der in Satz 1 Nummer 2 Buchstabe a und b und Satz 2 aufgeführten Auswahldaten ist zulässig.</w:t>
      </w:r>
    </w:p>
    <w:p>
      <w:r>
        <w:t xml:space="preserve">(2) Die abrufende Stelle bestimmt zu den unter Absatz 1 Satz 1 Nummer 1 aufgeführten Daten, ob eine phonetische Suche erfolgen soll. Sofern eine phonetische Suche bestimmt wurde, erfolgt die Suche durch die Auskunft gebende Stelle ausschließlich phonetisch.</w:t>
      </w:r>
    </w:p>
    <w:p>
      <w:r>
        <w:t xml:space="preserve">(3) Den Verzicht auf eine weitere Bearbeitung der Anfrage durch die Meldebehörde nach § 38 Absatz 5 des Bundesmeldegesetzes übermittelt die abrufende Stelle mit den Auswahldaten.</w:t>
      </w:r>
    </w:p>
    <w:p>
      <w:r>
        <w:t xml:space="preserve">(4) Die abrufende Stelle verwendet alle zur Verfügung stehenden Daten als Auswahldaten.</w:t>
      </w:r>
    </w:p>
    <w:p>
      <w:r>
        <w:t xml:space="preserve">(5) Werden bei einem Datenabruf Datensätze unterschiedlicher Personen gefunden, ist anstelle der Auswahldaten nach Absatz 1 Satz 1 und 2 zur Fortführung des Abrufs ein aus einer vorherigen Suche vorliegendes gültiges Identifikationsmerkmal nach § 39 Absatz 2 des Bundesmeldegesetzes zu verwenden.</w:t>
      </w:r>
    </w:p>
    <w:p>
      <w:r>
        <w:t xml:space="preserve">(6) Die Auskunft gebende Stelle muss alle von der abrufenden Stelle angegebenen Auswahldaten für die Suche im Melderegister verwenden. Die abrufende und die Auskunft gebende Stelle haben bei jeder Suchanfrage die technischen Vorgaben in Nummer 4 der Anlage sicherzustellen.</w:t>
      </w:r>
    </w:p>
    <w:p>
      <w:r>
        <w:t xml:space="preserve">(7) Die Verwendung von Platzhaltern ist unzulässig.</w:t>
      </w:r>
    </w:p>
    <w:p>
      <w:r>
        <w:rPr>
          <w:color w:val="555555"/>
          <w:sz w:val="17"/>
        </w:rPr>
        <w:t xml:space="preserve">Zitiervorschlag: § 4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