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BMeldDÜV 2 2015</w:t>
      </w:r>
    </w:p>
    <w:p>
      <w:r>
        <w:rPr>
          <w:color w:val="555555"/>
          <w:sz w:val="18"/>
        </w:rPr>
        <w:t xml:space="preserve">Zweite Bundesmeldedatenübermittlungsverordnung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56 Absatz 1 Nummer 2 und 3 und Absatz 2 des Bundesmeldegesetzes (BMG) vom 3. Mai 2013 (BGBl. I S. 1084) verordnet das Bundesministerium des Innern:</w:t>
      </w:r>
    </w:p>
    <w:p>
      <w:r>
        <w:rPr>
          <w:color w:val="555555"/>
          <w:sz w:val="17"/>
        </w:rPr>
        <w:t xml:space="preserve">Zitiervorschlag: Eingangsformel BMeldDÜV 2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https://recht.nulegal.eu/gesetze/BMeldD%C3%9CV%202%202015/eingangsformel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