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BMeldDÜV 1 2015 — Auswertung der Rückmeldung</w:t>
      </w:r>
    </w:p>
    <w:p>
      <w:r>
        <w:rPr>
          <w:color w:val="555555"/>
          <w:sz w:val="18"/>
        </w:rPr>
        <w:t xml:space="preserve">Erste Bundesmeldedatenübermittlungsverordnung</w:t>
      </w:r>
    </w:p>
    <w:p>
      <w:r>
        <w:rPr>
          <w:color w:val="555555"/>
          <w:sz w:val="18"/>
        </w:rPr>
        <w:t xml:space="preserve">Stand: 01.05.2026 (konsolidierte Textfassung, kein amtliches Inkrafttretensdatum)</w:t>
      </w:r>
    </w:p>
    <w:p>
      <w:r>
        <w:t xml:space="preserve">(1) Die Auswertung der Rückmeldung erfolgt</w:t>
      </w:r>
    </w:p>
    <w:p>
      <w:pPr>
        <w:ind w:left="420"/>
      </w:pPr>
      <w:r>
        <w:t xml:space="preserve">1. bei Anmeldung einer alleinigen Wohnung oder Hauptwohnung durch die Wegzugsmeldebehörde der alleinigen Wohnung oder Hauptwohnung,</w:t>
      </w:r>
    </w:p>
    <w:p>
      <w:pPr>
        <w:ind w:left="420"/>
      </w:pPr>
      <w:r>
        <w:t xml:space="preserve">2. bei Anmeldung einer Nebenwohnung durch die Meldebehörde der Hauptwohnung oder</w:t>
      </w:r>
    </w:p>
    <w:p>
      <w:pPr>
        <w:ind w:left="420"/>
      </w:pPr>
      <w:r>
        <w:t xml:space="preserve">3. bei erneutem Zuzug aus dem Ausland durch die letzte Inlandsmeldebehörde.</w:t>
      </w:r>
    </w:p>
    <w:p>
      <w:r>
        <w:t xml:space="preserve">Ist die neue Wohnung die alleinige Wohnung oder die Hauptwohnung der zugezogenen Person, so unterrichtet die Wegzugsmeldebehörde die Zuzugsmeldebehörde unverzüglich, spätestens jedoch drei Werktage nach Eingang der Rückmeldung darüber, ob Tatsachen nach § 3 Absatz 2 Nummer 1, 2 Buchstabe d, Nummer 3 und 4, 7, 8 und 11 des Bundesmeldegesetzes vorliegen (Datenblätter 2101 bis 2106, 2301, 2302, 2601, 2602, 2603, 2604, 2702, 2705, 2706, 2708, 2801 und 2802). Sie übermittelt der Zuzugsmeldebehörde auch die Datenblätter 1002 bis 1004 und 1305, das Sperrkennwort und die Sperrsumme des Personalausweises oder der eID-Karte nach § 3 Absatz 1 Nummer 17 des Bundesmeldegesetzes, sofern diese Daten im Melderegister gespeichert sind (Datenblätter 1710 und 1711 oder 1718 und 1719) sowie das Datenblatt 1712a. Ist die neue Wohnung die Nebenwohnung der zugezogenen Person, so unterrichtet die Meldebehörde der alleinigen Wohnung oder der Hauptwohnung die Zuzugsmeldebehörde unverzüglich, spätestens jedoch drei Werktage nach Eingang der Rückmeldung darüber, ob Tatsachen nach § 3 Absatz 2 Nummer 7 und 8 des Bundesmeldegesetzes vorliegen (Datenblätter 2601, 2602, 2603, 2604, 2801 und 2802). Die Sätze 2 und 3 gelten auch für Wohnungen, die ihren Status als alleinige Wohnung oder als Hauptwohnung durch Abmeldung oder besondere Erklärung der meldepflichtigen Person erhalten haben.</w:t>
      </w:r>
    </w:p>
    <w:p>
      <w:r>
        <w:t xml:space="preserve">(2) Weichen die der Wegzugsmeldebehörde nach § 6 Absatz 1 übermittelten Daten von den bei ihr gespeicherten Daten ab, so unterrichtet sie gemäß § 33 Absatz 2 Satz 2 des Bundesmeldegesetzes hierüber unverzüglich die Zuzugsmeldebehörde. Eine Unterrichtung kann unterbleiben, wenn die Abweichung ausschließlich darin besteht, dass die Wegzugsmeldebehörde weniger Daten über die Person gespeichert hat als die Zuzugsmeldebehörde. Wurde die Person bei der Wegzugsmeldebehörde nach unbekannt oder ins Ausland abgemeldet, teilt die Wegzugsmeldebehörde der Zuzugsmeldebehörde dies mit und gibt das Auszugsdatum an (Datenblatt 1306).</w:t>
      </w:r>
    </w:p>
    <w:p>
      <w:r>
        <w:t xml:space="preserve">(3) In den Fällen der Absätze 1 und 2 sind zum Zweck der richtigen Zuordnung zusätzlich folgende Daten der betroffenen Person zu übermitteln:</w:t>
      </w:r>
    </w:p>
    <w:p>
      <w:r>
        <w:rPr>
          <w:rFonts w:ascii="Courier New" w:hAnsi="Courier New"/>
          <w:sz w:val="17"/>
        </w:rPr>
        <w:t xml:space="preserve">        Blattnummer des DSMeld (Datenblatt)</w:t>
      </w:r>
    </w:p>
    <w:p>
      <w:r>
        <w:rPr>
          <w:rFonts w:ascii="Courier New" w:hAnsi="Courier New"/>
          <w:sz w:val="17"/>
        </w:rPr>
        <w:t xml:space="preserve">1.    Familienname    0101a bis 0105a,</w:t>
      </w:r>
    </w:p>
    <w:p>
      <w:r>
        <w:rPr>
          <w:rFonts w:ascii="Courier New" w:hAnsi="Courier New"/>
          <w:sz w:val="17"/>
        </w:rPr>
        <w:t xml:space="preserve">2.    Geburtsname    0201a,</w:t>
      </w:r>
    </w:p>
    <w:p>
      <w:r>
        <w:rPr>
          <w:rFonts w:ascii="Courier New" w:hAnsi="Courier New"/>
          <w:sz w:val="17"/>
        </w:rPr>
        <w:t xml:space="preserve">3.    Vornamen unter Kennzeichnung des gebräuchlichen Vornamens    0301, 0302,</w:t>
      </w:r>
    </w:p>
    <w:p>
      <w:r>
        <w:rPr>
          <w:rFonts w:ascii="Courier New" w:hAnsi="Courier New"/>
          <w:sz w:val="17"/>
        </w:rPr>
        <w:t xml:space="preserve">4.    Geburtsdatum, Geburtsort sowie bei Geburt im Ausland auch den Staat    0601 bis 0603,</w:t>
      </w:r>
    </w:p>
    <w:p>
      <w:r>
        <w:rPr>
          <w:rFonts w:ascii="Courier New" w:hAnsi="Courier New"/>
          <w:sz w:val="17"/>
        </w:rPr>
        <w:t xml:space="preserve">5.    Anschriften (derzeitige und frühere Anschrift)    1201 bis 1213a,</w:t>
      </w:r>
    </w:p>
    <w:p>
      <w:r>
        <w:rPr>
          <w:rFonts w:ascii="Courier New" w:hAnsi="Courier New"/>
          <w:sz w:val="17"/>
        </w:rPr>
        <w:t xml:space="preserve">6.    AZR-Nummer    1712.</w:t>
      </w:r>
    </w:p>
    <w:p>
      <w:r>
        <w:t xml:space="preserve">(4) In den Fällen des § 3 Absatz 2 Nummer 1, 4, 7 und 8 des Bundesmeldegesetzes hat die Wegzugsmeldebehörde der Zuzugsmeldebehörde auch die Hinweise zu übermitteln, die zum Nachweis der Richtigkeit dieser Daten erforderlich sind, soweit die Hinweise im Melderegister gespeichert sind.</w:t>
      </w:r>
    </w:p>
    <w:p>
      <w:r>
        <w:t xml:space="preserve">(5) Weichen die der Meldebehörde nach § 6 Absatz 2 übermittelten Daten von den bei ihr gespeicherten Daten des Ehegatten oder des Lebenspartners ab, so unterrichtet sie hierüber unverzüglich die Meldebehörde, die ihr die Daten übermittelt hat. Damit die abweichenden Daten der richtigen Person zugeordnet werden, sind die nach § 6 Absatz 2 übermittelten Daten unverändert zusätzlich zu übermitteln.</w:t>
      </w:r>
    </w:p>
    <w:p>
      <w:r>
        <w:rPr>
          <w:color w:val="555555"/>
          <w:sz w:val="17"/>
        </w:rPr>
        <w:t xml:space="preserve">Zitiervorschlag: § 7 BMeldDÜV 1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https://recht.nulegal.eu/gesetze/BMeldD%C3%9CV%201%202015/7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BMeldDÜV 1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