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BMeldDÜV 1 2015 — Organisation und Technik des automatisierten Abrufverfahrens zur Anmeldung</w:t>
      </w:r>
    </w:p>
    <w:p>
      <w:r>
        <w:rPr>
          <w:color w:val="555555"/>
          <w:sz w:val="18"/>
        </w:rPr>
        <w:t xml:space="preserve">Erste Bundesmeldedatenübermittlungsverordnung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organisatorische und technische Maßnahmen nach den Artikeln 24, 25 und 32 der Verordnung (EU) 2016/679, ist sicherzustellen, dass nur solche Personen die Daten abrufen können, die dazu befugt sind. Zu diesem Zweck zeichnen die Meldebehörde und die abrufende Stelle bei jedem Abruf folgende Angaben auf:</w:t>
      </w:r>
    </w:p>
    <w:p>
      <w:pPr>
        <w:ind w:left="420"/>
      </w:pPr>
      <w:r>
        <w:t xml:space="preserve">1. die für die Abfrage verwendeten sowie abgerufenen Daten,</w:t>
      </w:r>
    </w:p>
    <w:p>
      <w:pPr>
        <w:ind w:left="420"/>
      </w:pPr>
      <w:r>
        <w:t xml:space="preserve">2. Datum und Uhrzeit des Abrufs,</w:t>
      </w:r>
    </w:p>
    <w:p>
      <w:pPr>
        <w:ind w:left="420"/>
      </w:pPr>
      <w:r>
        <w:t xml:space="preserve">3. Kennung der abrufenden Person,</w:t>
      </w:r>
    </w:p>
    <w:p>
      <w:pPr>
        <w:ind w:left="420"/>
      </w:pPr>
      <w:r>
        <w:t xml:space="preserve">4. abrufende Dienststelle,</w:t>
      </w:r>
    </w:p>
    <w:p>
      <w:pPr>
        <w:ind w:left="420"/>
      </w:pPr>
      <w:r>
        <w:t xml:space="preserve">5. Meldebehörde, aus deren Melderegister Daten abgerufen wurden.</w:t>
      </w:r>
    </w:p>
    <w:p>
      <w:r>
        <w:t xml:space="preserve">(2) Die abrufende Stelle überprüft stichprobenweise die Rechtmäßigkeit der einzelnen Abrufe.</w:t>
      </w:r>
    </w:p>
    <w:p>
      <w:r>
        <w:t xml:space="preserve">(3) Auf Verlangen haben die Meldebehörden und die abrufenden Stellen die Aufzeichnungen der für die Datenschutzkontrolle zuständigen Stelle zu übermitteln.</w:t>
      </w:r>
    </w:p>
    <w:p>
      <w:r>
        <w:t xml:space="preserve">(4) Die Aufzeichnungen sind zwölf Monate nach ihrer Entstehung zu löschen. Eine Anforderung auf der Grundlage von Absatz 3 hemmt diese Löschungsfrist. Der Zeitraum bis zum Abschluss der Prüfung nach Absatz 2 wird in die Löschungsfrist nicht eingerechnet.</w:t>
      </w:r>
    </w:p>
    <w:p>
      <w:r>
        <w:rPr>
          <w:color w:val="555555"/>
          <w:sz w:val="17"/>
        </w:rPr>
        <w:t xml:space="preserve">Zitiervorschlag: § 5 BMeldDÜV 1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https://recht.nulegal.eu/gesetze/BMeldD%C3%9CV%201%202015/5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