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BMeldDÜV 1 2015 — Allgemeines</w:t>
      </w:r>
    </w:p>
    <w:p>
      <w:r>
        <w:rPr>
          <w:color w:val="555555"/>
          <w:sz w:val="18"/>
        </w:rPr>
        <w:t xml:space="preserve">Erste Bundesmeldedatenübermittlungsverordnung</w:t>
      </w:r>
    </w:p>
    <w:p>
      <w:r>
        <w:rPr>
          <w:color w:val="555555"/>
          <w:sz w:val="18"/>
        </w:rPr>
        <w:t xml:space="preserve">Stand: 03.05.2022 (konsolidierte Textfassung, kein amtliches Inkrafttretensdatum)</w:t>
      </w:r>
    </w:p>
    <w:p>
      <w:r>
        <w:t xml:space="preserve">(1) Diese Verordnung regelt die Durchführung von regelmäßigen Datenübermittlungen zwischen den Meldebehörden in den Fällen des § 23 Absatz 2 und 3 und § 33 Absatz 1 bis 3 des Bundesmeldegesetzes.</w:t>
      </w:r>
    </w:p>
    <w:p>
      <w:r>
        <w:t xml:space="preserve">(2) Hat ein Einwohner mehrere Wohnungen im Inland, sind Meldebehörden im Sinne dieser Verordnung sowohl die für die Hauptwohnung als auch die für die Nebenwohnung der Person zuständigen Meldebehörden. § 8 Absatz 1 bleibt unberührt.</w:t>
      </w:r>
    </w:p>
    <w:p>
      <w:r>
        <w:rPr>
          <w:color w:val="555555"/>
          <w:sz w:val="17"/>
        </w:rPr>
        <w:t xml:space="preserve">Zitiervorschlag: § 1 BMeldDÜV 1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https://recht.nulegal.eu/gesetze/BMeldD%C3%9CV%201%202015/1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