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BMWiEBVerfPAktV — Außerkrafttreten</w:t>
      </w:r>
    </w:p>
    <w:p>
      <w:r>
        <w:rPr>
          <w:color w:val="555555"/>
          <w:sz w:val="18"/>
        </w:rPr>
        <w:t xml:space="preserve">Verordnung zur Weiterführung papiergebundener Akten in Bußgeldverfahren im Geschäftsbereich des Bundesministeriums für Wirtschaft und Energie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Diese Verordnung tritt mit Ablauf des 31. Dezember 2026 außer Kraft.</w:t>
      </w:r>
    </w:p>
    <w:p>
      <w:r>
        <w:rPr>
          <w:color w:val="555555"/>
          <w:sz w:val="17"/>
        </w:rPr>
        <w:t xml:space="preserve">Zitiervorschlag: § 2 BMWiEBVerfPAktV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https://recht.nulegal.eu/gesetze/BMWiEBVerfPAktV/2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