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Eingangsformel BMWSBBesBeihUnffAnO</w:t>
      </w:r>
    </w:p>
    <w:p>
      <w:r>
        <w:rPr>
          <w:color w:val="555555"/>
          <w:sz w:val="18"/>
        </w:rPr>
        <w:t xml:space="preserve">Anordnung zur Übertragung von Zuständigkeiten für den Erlass von Widerspruchsbescheiden und für die Vertretung der Bundesrepublik Deutschland bei Klagen der Beamtinnen und Beamten des Bundesministeriums für Wohnen, Stadtentwicklung und Bauwesen in Angelegenheiten der Besoldung, der Beihilfe und der Unfallfürsorge auf das Bundesverwaltungsamt</w:t>
      </w:r>
    </w:p>
    <w:p>
      <w:r>
        <w:rPr>
          <w:color w:val="555555"/>
          <w:sz w:val="18"/>
        </w:rPr>
        <w:t xml:space="preserve">Stand: 13.04.2025 (konsolidierte Textfassung, kein amtliches Inkrafttretensdatum)</w:t>
      </w:r>
    </w:p>
    <w:p>
      <w:r>
        <w:t xml:space="preserve">Nach § 126 Absatz 3 Satz 2 und § 127 Absatz 3 Satz 1 des Bundesbeamtengesetzes vom 5. Februar 2009 (BGBl. I S. 160), § 56 der Bundesbeihilfeverordnung vom 13. Februar 2009 (BGBl. I S. 326), die zuletzt durch Artikel 3 der Verordnung vom 6. März 2024 (BGBl. 2024 I Nr. 92) geändert worden ist, § 12 Absatz 2 Satz 3 des Bundesbesoldungsgesetzes in der Fassung der Bekanntmachung vom 19. Juni 2009 (BGBl. I S. 1434), das zuletzt durch Artikel 7 des Gesetzes vom 19. Juli 2024 (BGBl. 2024 I Nr. 247) geändert worden ist, sowie § 35 Absatz 3 Satz 2, § 38 Absatz 6 Satz 2, § 44 Absatz 2 Satz 1 und § 45 Absatz 3 Satz 2 des Beamtenversorgungsgesetzes in der Fassung der Bekanntmachung vom 24. Februar 2010 (BGBl. I S. 150), das zuletzt durch Artikel 2 des Gesetzes vom 19. Juli 2024 (BGBl. 2024 I Nr. 247) geändert worden ist, ordne ich an:</w:t>
      </w:r>
    </w:p>
    <w:p>
      <w:r>
        <w:rPr>
          <w:color w:val="555555"/>
          <w:sz w:val="17"/>
        </w:rPr>
        <w:t xml:space="preserve">Zitiervorschlag: Eingangsformel BMWSBBesBeihUnffAnO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https://recht.nulegal.eu/gesetze/BMWSBBesBeihUnffAnO/eingangsformel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