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BMWKBGebKAIV — Inkrafttreten</w:t>
      </w:r>
    </w:p>
    <w:p>
      <w:r>
        <w:rPr>
          <w:color w:val="555555"/>
          <w:sz w:val="18"/>
        </w:rPr>
        <w:t xml:space="preserve">Besondere Gebührenverordnung BMWK und BAFA für Kriegswaffenkontrolle, Ausfuhrkontrolle und Investitionsprüfung</w:t>
      </w:r>
    </w:p>
    <w:p>
      <w:r>
        <w:rPr>
          <w:color w:val="555555"/>
          <w:sz w:val="18"/>
        </w:rPr>
        <w:t xml:space="preserve">Stand: 23.09.2023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6 BMWKBGebKAIV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https://recht.nulegal.eu/gesetze/BMWKBGebKAIV/6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