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BMWKBGebKAIV — Übergangsvorschrift</w:t>
      </w:r>
    </w:p>
    <w:p>
      <w:r>
        <w:rPr>
          <w:color w:val="555555"/>
          <w:sz w:val="18"/>
        </w:rPr>
        <w:t xml:space="preserve">Besondere Gebührenverordnung BMWK und BAFA für Kriegswaffenkontrolle, Ausfuhrkontrolle und Investitionsprüfung</w:t>
      </w:r>
    </w:p>
    <w:p>
      <w:r>
        <w:rPr>
          <w:color w:val="555555"/>
          <w:sz w:val="18"/>
        </w:rPr>
        <w:t xml:space="preserve">Stand: 23.09.2023 (konsolidierte Textfassung, kein amtliches Inkrafttretensdatum)</w:t>
      </w:r>
    </w:p>
    <w:p>
      <w:r>
        <w:t xml:space="preserve">Diese Verordnung gilt nicht für gebührenfähige Leistungen, die vor dem 1. Januar 2024 beantragt werden.</w:t>
      </w:r>
    </w:p>
    <w:p>
      <w:r>
        <w:rPr>
          <w:color w:val="555555"/>
          <w:sz w:val="17"/>
        </w:rPr>
        <w:t xml:space="preserve">Zitiervorschlag: § 5 BMWKBGebKAIV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https://recht.nulegal.eu/gesetze/BMWKBGebKAIV/5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