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BMWKBGebKAIV — Aufgabenübertragung</w:t>
      </w:r>
    </w:p>
    <w:p>
      <w:r>
        <w:rPr>
          <w:color w:val="555555"/>
          <w:sz w:val="18"/>
        </w:rPr>
        <w:t xml:space="preserve">Besondere Gebührenverordnung BMWK und BAFA für Kriegswaffenkontrolle, Ausfuhrkontrolle und Investitionsprüfung</w:t>
      </w:r>
    </w:p>
    <w:p>
      <w:r>
        <w:rPr>
          <w:color w:val="555555"/>
          <w:sz w:val="18"/>
        </w:rPr>
        <w:t xml:space="preserve">Stand: 23.09.2023 (konsolidierte Textfassung, kein amtliches Inkrafttretensdatum)</w:t>
      </w:r>
    </w:p>
    <w:p>
      <w:r>
        <w:t xml:space="preserve">Das Bundesministerium für Wirtschaft und Klimaschutz kann den Erlass von Gebührenbescheiden und die Einziehung von Gebühren in seinem Zuständigkeitsbereich auf das Bundesamt für Wirtschaft und Ausfuhrkontrolle übertragen.</w:t>
      </w:r>
    </w:p>
    <w:p>
      <w:r>
        <w:rPr>
          <w:color w:val="555555"/>
          <w:sz w:val="17"/>
        </w:rPr>
        <w:t xml:space="preserve">Zitiervorschlag: § 4 BMWKBGebKAIV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https://recht.nulegal.eu/gesetze/BMWKBGebKAIV/4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