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BMWKBGebKAIV — Freigrenze</w:t>
      </w:r>
    </w:p>
    <w:p>
      <w:r>
        <w:rPr>
          <w:color w:val="555555"/>
          <w:sz w:val="18"/>
        </w:rPr>
        <w:t xml:space="preserve">Besondere Gebührenverordnung BMWK und BAFA für Kriegswaffenkontrolle, Ausfuhrkontrolle und Investitionsprüfung</w:t>
      </w:r>
    </w:p>
    <w:p>
      <w:r>
        <w:rPr>
          <w:color w:val="555555"/>
          <w:sz w:val="18"/>
        </w:rPr>
        <w:t xml:space="preserve">Stand: 23.09.2023 (konsolidierte Textfassung, kein amtliches Inkrafttretensdatum)</w:t>
      </w:r>
    </w:p>
    <w:p>
      <w:r>
        <w:t xml:space="preserve">(1) Für gebührenfähige Leistungen in Bezug auf Rechtsgeschäfte und Handlungen, deren Wert nach § 2 Absatz 3 5 000 Euro nicht überschreitet, sollen keine Gebühren erhoben werden. In Bezug auf Technologie und Software, deren Wert sich nicht objektiv bestimmen lässt, gilt § 2 Absatz 4 Satz 2 bis 3 entsprechend.</w:t>
      </w:r>
    </w:p>
    <w:p>
      <w:r>
        <w:t xml:space="preserve">(2) Absatz 1 gilt nicht für die Gebührentatbestände nach Abschnitt 1 Nummer 1.4, 4 und 5 sowie Abschnitt 2 Nummer 1 des Gebührenverzeichnisses.</w:t>
      </w:r>
    </w:p>
    <w:p>
      <w:r>
        <w:rPr>
          <w:color w:val="555555"/>
          <w:sz w:val="17"/>
        </w:rPr>
        <w:t xml:space="preserve">Zitiervorschlag: § 3 BMWKBGebKAIV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https://recht.nulegal.eu/gesetze/BMWKBGebKAIV/3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