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BMVgVFAPrV — Übergangsregelung</w:t>
      </w:r>
    </w:p>
    <w:p>
      <w:r>
        <w:rPr>
          <w:color w:val="555555"/>
          <w:sz w:val="18"/>
        </w:rPr>
        <w:t xml:space="preserve">BMVg-Verwaltungsfachangestelltenprüfungsverordnung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Für Abschlussprüfungen, die von Auszubildenden abgelegt werden, deren Berufsausbildungsvertrag bereits vor dem 1. Oktober 2022 abgeschlossen wurde, ist diese Verordnung nicht anzuwenden.</w:t>
      </w:r>
    </w:p>
    <w:p>
      <w:r>
        <w:rPr>
          <w:color w:val="555555"/>
          <w:sz w:val="17"/>
        </w:rPr>
        <w:t xml:space="preserve">Zitiervorschlag: § 26 BMVgVFAPrV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https://recht.nulegal.eu/gesetze/BMVgVFAPrV/26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