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BMVgVFAPrV — Rechtsbehelfsbelehrung</w:t>
      </w:r>
    </w:p>
    <w:p>
      <w:r>
        <w:rPr>
          <w:color w:val="555555"/>
          <w:sz w:val="18"/>
        </w:rPr>
        <w:t xml:space="preserve">BMVg-Verwaltungsfachangestelltenprüfungsverordnung</w:t>
      </w:r>
    </w:p>
    <w:p>
      <w:r>
        <w:rPr>
          <w:color w:val="555555"/>
          <w:sz w:val="18"/>
        </w:rPr>
        <w:t xml:space="preserve">Stand: 01.07.2023 (konsolidierte Textfassung, kein amtliches Inkrafttretensdatum)</w:t>
      </w:r>
    </w:p>
    <w:p>
      <w:r>
        <w:t xml:space="preserve">Maßnahmen und Entscheidungen der Prüfungsausschüsse sowie der zuständigen Stelle sind bei ihrer schriftlichen Bekanntgabe an den Prüfling mit einer Rechtsbehelfsbelehrung nach § 58 Absatz 1 in Verbindung mit § 70 Absatz 2 der Verwaltungsgerichtsordnung zu versehen.</w:t>
      </w:r>
    </w:p>
    <w:p>
      <w:r>
        <w:rPr>
          <w:color w:val="555555"/>
          <w:sz w:val="17"/>
        </w:rPr>
        <w:t xml:space="preserve">Zitiervorschlag: § 24 BMVgVFAPrV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https://recht.nulegal.eu/gesetze/BMVgVFAPrV/24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