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BMVgSEGZustAnO</w:t>
      </w:r>
    </w:p>
    <w:p>
      <w:r>
        <w:rPr>
          <w:color w:val="555555"/>
          <w:sz w:val="18"/>
        </w:rPr>
        <w:t xml:space="preserve">BMVg-Soldatenentschädigungs-Zuständigkeitsanordnung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Auf Grund des § 71 Absatz 2 Satz 1 sowie § 72 Absatz 2 Satz 2 des Soldatenentschädigungsgesetzes vom 20. August 2021 (BGBl. I S. 3932, 3933) ordnet das Bundesministerium der Verteidigung an:</w:t>
      </w:r>
    </w:p>
    <w:p>
      <w:r>
        <w:rPr>
          <w:color w:val="555555"/>
          <w:sz w:val="17"/>
        </w:rPr>
        <w:t xml:space="preserve">Zitiervorschlag: Eingangsformel BMVgSEGZustAnO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https://recht.nulegal.eu/gesetze/BMVgSEGZustAnO/eingangsformel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