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BMVgSEGZustAnO — Entscheidung im Vorverfahren</w:t>
      </w:r>
    </w:p>
    <w:p>
      <w:r>
        <w:rPr>
          <w:color w:val="555555"/>
          <w:sz w:val="18"/>
        </w:rPr>
        <w:t xml:space="preserve">BMVg-Soldatenentschädigungs-Zuständigkeitsanordnung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Zuständigkeit für die Entscheidung im Vorverfahren (§ 71 Soldatenentschädigungsgesetz) wird auf das Bundesamt für das Personalmanagement der Bundeswehr übertragen.</w:t>
      </w:r>
    </w:p>
    <w:p>
      <w:r>
        <w:rPr>
          <w:color w:val="555555"/>
          <w:sz w:val="17"/>
        </w:rPr>
        <w:t xml:space="preserve">Zitiervorschlag: § 1 BMVgSEGZustAnO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https://recht.nulegal.eu/gesetze/BMVgSEGZustAnO/1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