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BMVgBeamtVZustAnO 2021 — Entscheidung durch das Bundesministerium der Verteidigung</w:t>
      </w:r>
    </w:p>
    <w:p>
      <w:r>
        <w:rPr>
          <w:color w:val="555555"/>
          <w:sz w:val="18"/>
        </w:rPr>
        <w:t xml:space="preserve">BMVg-Beamtenversorgungs-Zuständigkeitsanordnung</w:t>
      </w:r>
    </w:p>
    <w:p>
      <w:r>
        <w:rPr>
          <w:color w:val="555555"/>
          <w:sz w:val="18"/>
        </w:rPr>
        <w:t xml:space="preserve">Stand: 12.10.2021 (konsolidierte Textfassung, kein amtliches Inkrafttretensdatum)</w:t>
      </w:r>
    </w:p>
    <w:p>
      <w:r>
        <w:t xml:space="preserve">(1) Die Entscheidung nach § 31 Absatz 5 und § 31a Absatz 3 des Beamtenversorgungsgesetzes und die Entscheidung über die Gewährung von Entschädigungsleistungen nach § 43 des Beamtenversorgungsgesetzes trifft das Bundesministerium der Verteidigung.</w:t>
      </w:r>
    </w:p>
    <w:p>
      <w:r>
        <w:t xml:space="preserve">(2) Darüber hinaus behält sich das Bundesministerium der Verteidigung vor, in Einzelfällen</w:t>
      </w:r>
    </w:p>
    <w:p>
      <w:pPr>
        <w:ind w:left="420"/>
      </w:pPr>
      <w:r>
        <w:t xml:space="preserve">1. die nach § 1 übertragenen Aufgaben und Befugnisse selbst auszuüben,</w:t>
      </w:r>
    </w:p>
    <w:p>
      <w:pPr>
        <w:ind w:left="420"/>
      </w:pPr>
      <w:r>
        <w:t xml:space="preserve">2. die Ausübung der nach § 1 übertragenen Aufgaben und Befugnisse unter Zustimmungsvorbehalt zu stellen,</w:t>
      </w:r>
    </w:p>
    <w:p>
      <w:pPr>
        <w:ind w:left="420"/>
      </w:pPr>
      <w:r>
        <w:t xml:space="preserve">3. Entscheidungen von grundsätzlicher Bedeutung selbst zu treffen.</w:t>
      </w:r>
    </w:p>
    <w:p>
      <w:r>
        <w:rPr>
          <w:color w:val="555555"/>
          <w:sz w:val="17"/>
        </w:rPr>
        <w:t xml:space="preserve">Zitiervorschlag: § 2 BMVgBeamtVZustAnO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https://recht.nulegal.eu/gesetze/BMVgBeamtVZustAnO%202021/2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BMVgBeamtVZustAnO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