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BMVgBDODAnO</w:t>
      </w:r>
    </w:p>
    <w:p>
      <w:r>
        <w:rPr>
          <w:color w:val="555555"/>
          <w:sz w:val="18"/>
        </w:rPr>
        <w:t xml:space="preserve">Anordnung zur Durchführung der Bundesdisziplinarordnung für den Geschäftsbereich des Bundesministers der Verteidigung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29 Abs. 4, § 15 Abs. 2 Satz 1 der Bundesdisziplinarordnung in der Fassung der Bekanntmachung vom 20. Juli 1967 (Bundesgesetzbl. I S. 750) ordne ich für den Geschäftsbereich des Bundesministers der Verteidigung an:</w:t>
      </w:r>
    </w:p>
    <w:p>
      <w:r>
        <w:rPr>
          <w:color w:val="555555"/>
          <w:sz w:val="17"/>
        </w:rPr>
        <w:t xml:space="preserve">Zitiervorschlag: Eingangsformel BMVgBDODAnO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https://recht.nulegal.eu/gesetze/BMVgBDODAnO/eingangsformel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