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BMVgBDGAnO</w:t>
      </w:r>
    </w:p>
    <w:p>
      <w:r>
        <w:rPr>
          <w:color w:val="555555"/>
          <w:sz w:val="18"/>
        </w:rPr>
        <w:t xml:space="preserve">Anordnung zur Übertragung disziplinarrechtlicher Zuständigkeiten und Befugnisse im Geschäftsbereich des Bundesministeriums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33 Absatz 5, § 34 Absatz 2 Satz 2, § 42 Absatz 1 Satz 2 und § 84 Satz 2 des Bundesdisziplinargesetzes vom 9. Juli 2001 (BGBl. I S. 1510) ordnet das Bundesministerium der Verteidigung an:</w:t>
      </w:r>
    </w:p>
    <w:p>
      <w:r>
        <w:rPr>
          <w:color w:val="555555"/>
          <w:sz w:val="17"/>
        </w:rPr>
        <w:t xml:space="preserve">Zitiervorschlag: Eingangsformel BMVgBDGAnO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https://recht.nulegal.eu/gesetze/BMVgBDGAnO/eingangsformel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BMVgBDGAnO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