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BMVI-WS-BGebV — Inkrafttreten</w:t>
      </w:r>
    </w:p>
    <w:p>
      <w:r>
        <w:rPr>
          <w:color w:val="555555"/>
          <w:sz w:val="18"/>
        </w:rPr>
        <w:t xml:space="preserve">Besondere Gebührenverordnung Wasserstraßen und Schifffahrt</w:t>
      </w:r>
    </w:p>
    <w:p>
      <w:r>
        <w:rPr>
          <w:color w:val="555555"/>
          <w:sz w:val="18"/>
        </w:rPr>
        <w:t xml:space="preserve">Stand: 03.11.2021 (konsolidierte Textfassung, kein amtliches Inkrafttretensdatum)</w:t>
      </w:r>
    </w:p>
    <w:p>
      <w:r>
        <w:t xml:space="preserve">Diese Verordnung tritt mit Wirkung vom 1. Oktober 2021 in Kraft.</w:t>
      </w:r>
    </w:p>
    <w:p>
      <w:r>
        <w:rPr>
          <w:color w:val="555555"/>
          <w:sz w:val="17"/>
        </w:rPr>
        <w:t xml:space="preserve">Zitiervorschlag: § 5 BMVI-WS-BGebV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https://recht.nulegal.eu/gesetze/BMVI-WS-BGebV/5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