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BMVI-WS-BGebV — Zeitgebühr</w:t>
      </w:r>
    </w:p>
    <w:p>
      <w:r>
        <w:rPr>
          <w:color w:val="555555"/>
          <w:sz w:val="18"/>
        </w:rPr>
        <w:t xml:space="preserve">Besondere Gebührenverordnung Wasserstraßen und Schifffahrt</w:t>
      </w:r>
    </w:p>
    <w:p>
      <w:r>
        <w:rPr>
          <w:color w:val="555555"/>
          <w:sz w:val="18"/>
        </w:rPr>
        <w:t xml:space="preserve">Stand: 03.11.2021 (konsolidierte Textfassung, kein amtliches Inkrafttretensdatum)</w:t>
      </w:r>
    </w:p>
    <w:p>
      <w:r>
        <w:t xml:space="preserve">Sofern im Gebühren- und Auslagenverzeichnis nichts anderes bestimmt ist, gelten für den Zeitaufwand von Verwaltungsbeschäftigten in der Bundesverwaltung die in der Anlage 1 Teil A der Allgemeinen Gebührenverordnung bestimmten allgemeinen pauschalen Stundensätze für Verwaltungsbeschäftigte in der Bundesverwaltung.</w:t>
      </w:r>
    </w:p>
    <w:p>
      <w:r>
        <w:rPr>
          <w:color w:val="555555"/>
          <w:sz w:val="17"/>
        </w:rPr>
        <w:t xml:space="preserve">Zitiervorschlag: § 3 BMVI-WS-BGebV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https://recht.nulegal.eu/gesetze/BMVI-WS-BGebV/3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