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BMVI-WS-BGebV — Höhe der Gebühren und Auslagen</w:t>
      </w:r>
    </w:p>
    <w:p>
      <w:r>
        <w:rPr>
          <w:color w:val="555555"/>
          <w:sz w:val="18"/>
        </w:rPr>
        <w:t xml:space="preserve">Besondere Gebührenverordnung Wasserstraßen und Schifffahrt</w:t>
      </w:r>
    </w:p>
    <w:p>
      <w:r>
        <w:rPr>
          <w:color w:val="555555"/>
          <w:sz w:val="18"/>
        </w:rPr>
        <w:t xml:space="preserve">Stand: 03.11.2021 (konsolidierte Textfassung, kein amtliches Inkrafttretensdatum)</w:t>
      </w:r>
    </w:p>
    <w:p>
      <w:r>
        <w:t xml:space="preserve">(1) Die Höhe der Gebühren und Auslagen richtet sich nach dem Gebühren- und Auslagenverzeichnis der Anlage. Das Gebühren- und Auslagenverzeichnis regelt ferner die Tatbestände für eine Gebühren- und Auslagenbefreiung.</w:t>
      </w:r>
    </w:p>
    <w:p>
      <w:r>
        <w:t xml:space="preserve">(2) Die nach der Anlage zu erhebenden Gebühren und Auslagen umfassen jeweils auch die Kosten für die Festsetzung der Gebühren und Auslagen.</w:t>
      </w:r>
    </w:p>
    <w:p>
      <w:r>
        <w:t xml:space="preserve">(3) Auslagen, die nicht im Gebühren- und Auslagenverzeichnis aufgeführt sind, sind mit der Gebühr abgegolten.</w:t>
      </w:r>
    </w:p>
    <w:p>
      <w:r>
        <w:rPr>
          <w:color w:val="555555"/>
          <w:sz w:val="17"/>
        </w:rPr>
        <w:t xml:space="preserve">Zitiervorschlag: § 2 BMVI-WS-BGebV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https://recht.nulegal.eu/gesetze/BMVI-WS-BGebV/2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