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BMVBVerfPAktV — Außerkrafttreten</w:t>
      </w:r>
    </w:p>
    <w:p>
      <w:r>
        <w:rPr>
          <w:color w:val="555555"/>
          <w:sz w:val="18"/>
        </w:rPr>
        <w:t xml:space="preserve">Verordnung zur Ermöglichung der Anlegung, Führung oder Weiterführung papiergebundener Akten in Bußgeldverfahren im Geschäftsbereich des Bundesministeriums für Verkehr</w:t>
      </w:r>
    </w:p>
    <w:p>
      <w:r>
        <w:rPr>
          <w:color w:val="555555"/>
          <w:sz w:val="18"/>
        </w:rPr>
        <w:t xml:space="preserve">Stand: 21.04.2026 (konsolidierte Textfassung, kein amtliches Inkrafttretensdatum)</w:t>
      </w:r>
    </w:p>
    <w:p>
      <w:r>
        <w:t xml:space="preserve">Diese Verordnung tritt mit Ablauf des 31. Dezember 2026 außer Kraft.</w:t>
      </w:r>
    </w:p>
    <w:p>
      <w:r>
        <w:rPr>
          <w:color w:val="555555"/>
          <w:sz w:val="17"/>
        </w:rPr>
        <w:t xml:space="preserve">Zitiervorschlag: § 2 BMVBVerfPAktV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https://recht.nulegal.eu/gesetze/BMVBVerfPAktV/2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