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BMUBGebV — Erhebung von Gebühren und Auslagen</w:t>
      </w:r>
    </w:p>
    <w:p>
      <w:r>
        <w:rPr>
          <w:color w:val="555555"/>
          <w:sz w:val="18"/>
        </w:rPr>
        <w:t xml:space="preserve">Besondere Gebührenverordnung BMUKN</w:t>
      </w:r>
    </w:p>
    <w:p>
      <w:r>
        <w:rPr>
          <w:color w:val="555555"/>
          <w:sz w:val="18"/>
        </w:rPr>
        <w:t xml:space="preserve">Stand: 17.04.2026 (konsolidierte Textfassung, kein amtliches Inkrafttretensdatum)</w:t>
      </w:r>
    </w:p>
    <w:p>
      <w:r>
        <w:t xml:space="preserve">(1) Gebühren und Auslagen werden für individuell zurechenbare öffentliche Leistungen (gebührenfähige Leistungen) erhoben, die auf Grund der folgenden Vorschriften erbracht werden:</w:t>
      </w:r>
    </w:p>
    <w:p>
      <w:pPr>
        <w:ind w:left="420"/>
      </w:pPr>
      <w:r>
        <w:t xml:space="preserve">1. Chemikaliengesetz, auch in Verbindung mit der Verordnung (EU) Nr. 528/2012 des Europäischen Parlaments und des Rates vom 22. Mai 2012 über die Bereitstellung auf dem Markt und die Verwendung von Biozidprodukten (ABl. L 167 vom 27.6.2012, S. 1), die zuletzt durch die Delegierte Verordnung (EU) 2021/407 (ABl. L 81 vom 9.3.2021, S. 15) geändert worden ist, in der jeweils geltenden Fassung und der Verordnung (EU) Nr. 649/2012 des Europäischen Parlaments und des Rates vom 4. Juli 2012 über die Aus- und Einfuhr gefährlicher Chemikalien (ABl. L 201 vom 27.7.2012, S. 60), die zuletzt durch die Delegierte Verordnung (EU) 2020/1068 (ABl. L 234 vom 21.7.2020, S. 1) geändert worden ist, in der jeweils geltenden Fassung,</w:t>
      </w:r>
    </w:p>
    <w:p>
      <w:pPr>
        <w:ind w:left="420"/>
      </w:pPr>
      <w:r>
        <w:t xml:space="preserve">2. Wasch- und Reinigungsmittelgesetz in Verbindung mit der Verordnung (EG) Nr. 648/2004 des Europäischen Parlaments und des Rates vom 31. März 2004 über Detergenzien (ABl. L 104 vom 8.4.2004, S. 1), die zuletzt durch die Verordnung (EU) Nr. 259/2012 (ABl. L 94 vom 30.3.2012, S. 16) geändert worden ist, in der jeweils geltenden Fassung,</w:t>
      </w:r>
    </w:p>
    <w:p>
      <w:pPr>
        <w:ind w:left="420"/>
      </w:pPr>
      <w:r>
        <w:t xml:space="preserve">3. Verordnung (EG) Nr. 1013/2006 des Europäischen Parlaments und des Rates vom 14. Juni 2006 über die Verbringung von Abfällen (ABl. L 190 vom 12.7.2006, S. 1), die zuletzt durch die Delegierte Verordnung (EU) 2020/2174 (ABl. L 433 vom 22.12.2020, S. 11) geändert worden ist, in der jeweils geltenden Fassung,</w:t>
      </w:r>
    </w:p>
    <w:p>
      <w:pPr>
        <w:ind w:left="420"/>
      </w:pPr>
      <w:r>
        <w:t xml:space="preserve">4. Umweltschutzprotokoll-Ausführungsgesetz,</w:t>
      </w:r>
    </w:p>
    <w:p>
      <w:pPr>
        <w:ind w:left="420"/>
      </w:pPr>
      <w:r>
        <w:t xml:space="preserve">5. Delegierte Verordnung (EU) 2019/1122 der Kommission vom 12. März 2019 zur Ergänzung der Richtlinie 2003/87/EG des Europäischen Parlaments und des Rates im Hinblick auf die Funktionsweise des Unionsregisters (ABl. L 177 vom 2.7.2019, S. 3), die zuletzt durch die Delegierte Verordnung (EU) 2019/1124 (ABl. L 177 vom 2.7.2019, S. 66) geändert worden ist, in der jeweils geltenden Fassung in Verbindung mit dem Treibhausgas-Emissionshandelsgesetz,</w:t>
      </w:r>
    </w:p>
    <w:p>
      <w:pPr>
        <w:ind w:left="420"/>
      </w:pPr>
      <w:r>
        <w:t xml:space="preserve">6. Trinkwasserverordnung,</w:t>
      </w:r>
    </w:p>
    <w:p>
      <w:pPr>
        <w:ind w:left="420"/>
      </w:pPr>
      <w:r>
        <w:t xml:space="preserve">7. Upstream-Emissionsminderungs-Verordnung,</w:t>
      </w:r>
    </w:p>
    <w:p>
      <w:pPr>
        <w:ind w:left="420"/>
      </w:pPr>
      <w:r>
        <w:t xml:space="preserve">8. Verpackungsgesetz,</w:t>
      </w:r>
    </w:p>
    <w:p>
      <w:pPr>
        <w:ind w:left="420"/>
      </w:pPr>
      <w:r>
        <w:t xml:space="preserve">9. Bundesnaturschutzgesetz,</w:t>
      </w:r>
    </w:p>
    <w:p>
      <w:pPr>
        <w:ind w:left="420"/>
      </w:pPr>
      <w:r>
        <w:t xml:space="preserve">10. Umweltschadensgesetz,</w:t>
      </w:r>
    </w:p>
    <w:p>
      <w:pPr>
        <w:ind w:left="420"/>
      </w:pPr>
      <w:r>
        <w:t xml:space="preserve">11. Verordnung (EG) Nr. 338/97 des Rates vom 9. Dezember 1996 über den Schutz von Exemplaren wildlebender Tier- und Pflanzenarten durch Überwachung des Handels (ABl. L 61 vom 3.3.1997, S. 1), die zuletzt durch die Verordnung (EU) 2019/2117 (ABl. L 320 vom 11.12.2019, S. 13) geändert worden ist, in der jeweils geltenden Fassung,</w:t>
      </w:r>
    </w:p>
    <w:p>
      <w:pPr>
        <w:ind w:left="420"/>
      </w:pPr>
      <w:r>
        <w:t xml:space="preserve">12. Verordnung (EG) Nr. 865/2006 der Kommission vom 4. Mai 2006 mit Durchführungsbestimmungen zur Verordnung (EG) Nr. 338/97 des Rates über den Schutz von Exemplaren wild lebender Tier- und Pflanzenarten durch Überwachung des Handels (ABl. L 166 vom 19.6.2006, S. 1), die zuletzt durch die Verordnung (EU) 2019/220 (ABl. L 35 vom 7.2.2019, S. 3) geändert worden ist, in der jeweils geltenden Fassung,</w:t>
      </w:r>
    </w:p>
    <w:p>
      <w:pPr>
        <w:ind w:left="420"/>
      </w:pPr>
      <w:r>
        <w:t xml:space="preserve">13. Gesetz zur Umsetzung der Verpflichtungen nach dem Nagoya-Protokoll und zur Durchführung der Verordnung (EU) Nr. 511/2014,</w:t>
      </w:r>
    </w:p>
    <w:p>
      <w:pPr>
        <w:ind w:left="420"/>
      </w:pPr>
      <w:r>
        <w:t xml:space="preserve">14. Gesetz zu dem Übereinkommen vom 1. Juni 1972 zur Erhaltung der antarktischen Robben,</w:t>
      </w:r>
    </w:p>
    <w:p>
      <w:pPr>
        <w:ind w:left="420"/>
      </w:pPr>
      <w:r>
        <w:t xml:space="preserve">15. Einwegkunststofffondsgesetz,</w:t>
      </w:r>
    </w:p>
    <w:p>
      <w:pPr>
        <w:ind w:left="420"/>
      </w:pPr>
      <w:r>
        <w:t xml:space="preserve">16. Verordnung zur Anrechnung von strombasierten Kraftstoffen und mitverarbeiteten biogenen Ölen auf die Treibhausgasquote (37. BImSchV),</w:t>
      </w:r>
    </w:p>
    <w:p>
      <w:pPr>
        <w:ind w:left="420"/>
      </w:pPr>
      <w:r>
        <w:t xml:space="preserve">17. Verordnung zur Festlegung weiterer Bestimmungen zur Treibhausgasminderung bei Kraftstoffen (38. BImSchV).</w:t>
      </w:r>
    </w:p>
    <w:p>
      <w:r>
        <w:t xml:space="preserve">(2) Für gebührenfähige Leistungen nach Absatz 1 Nummer 9 und 10 in Verbindung mit Abschnitt 9 Nummer 2 und Abschnitt 10 des Gebühren- und Auslagenverzeichnisses in der Anlage gelten die Vorschriften dieser Besonderen Gebührenverordnung nach Maßgabe der Vorgaben des Seerechtsübereinkommens der Vereinten Nationen vom 10. Dezember 1982 (BGBl. 1994 II S. 1798, 1799; 1995 II S. 602) auch im Bereich der deutschen ausschließlichen Wirtschaftszone und des Festlandsockels.</w:t>
      </w:r>
    </w:p>
    <w:p>
      <w:r>
        <w:rPr>
          <w:color w:val="555555"/>
          <w:sz w:val="17"/>
        </w:rPr>
        <w:t xml:space="preserve">Zitiervorschlag: § 1 BMUBGebV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https://recht.nulegal.eu/gesetze/BMUBGebV/1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