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BMMAusbV</w:t>
      </w:r>
    </w:p>
    <w:p>
      <w:r>
        <w:rPr>
          <w:color w:val="555555"/>
          <w:sz w:val="18"/>
        </w:rPr>
        <w:t xml:space="preserve">Biologiemodellmacherausbildungsverordnung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Absatz 1 des Berufsbildungsgesetzes, der zuletzt durch Artikel 436 Nummer 1 der Verordnung vom 31. August 2015 (BGBl. I S. 1474) geändert worden ist,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BMMAusbV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https://recht.nulegal.eu/gesetze/BMMAusbV/eingangsformel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