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II. BMLErnAnO 1975</w:t>
      </w:r>
    </w:p>
    <w:p>
      <w:r>
        <w:rPr>
          <w:color w:val="555555"/>
          <w:sz w:val="18"/>
        </w:rPr>
        <w:t xml:space="preserve">Anordnung über die Ernennung und Entlassung von Bundesbeamten im Geschäftsbereich des Bundesministers für Ernährung, Landwirtschaft und Forsten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Anordnung tritt am Tage nach der Verkündung in Kraft.</w:t>
      </w:r>
    </w:p>
    <w:p>
      <w:r>
        <w:rPr>
          <w:color w:val="555555"/>
          <w:sz w:val="17"/>
        </w:rPr>
        <w:t xml:space="preserve">Zitiervorschlag: II. BMLErnAnO 1975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https://recht.nulegal.eu/gesetze/BMLErnAnO%201975/ii.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II. BMLErnAnO 1975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