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BMLEHStruBVfPAktV</w:t>
      </w:r>
    </w:p>
    <w:p>
      <w:r>
        <w:rPr>
          <w:color w:val="555555"/>
          <w:sz w:val="18"/>
        </w:rPr>
        <w:t xml:space="preserve">Verordnung zur Ermöglichung der Anlegung, Führung und Weiterführung papiergebundener Akten in Bußgeldverfahren im Geschäftsbereich des Bundesministeriums für Landwirtschaft, Ernährung und Heimat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Das Bundesministerium für Landwirtschaft, Ernährung und Heimat verordnet aufgrund der OWiG-Papierakte-Übertragungsverordnung vom 12. Dezember 2025 (BGBl. 2025 I Nr. 324):</w:t>
      </w:r>
    </w:p>
    <w:p>
      <w:r>
        <w:rPr>
          <w:color w:val="555555"/>
          <w:sz w:val="17"/>
        </w:rPr>
        <w:t xml:space="preserve">Zitiervorschlag: Eingangsformel BMLEHStruBVfPAktV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https://recht.nulegal.eu/gesetze/BMLEHStruBVfPAktV/eingangsformel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