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BMLEHStruBVfPAktV — Außerkrafttreten</w:t>
      </w:r>
    </w:p>
    <w:p>
      <w:r>
        <w:rPr>
          <w:color w:val="555555"/>
          <w:sz w:val="18"/>
        </w:rPr>
        <w:t xml:space="preserve">Verordnung zur Ermöglichung der Anlegung, Führung und Weiterführung papiergebundener Akten in Bußgeldverfahren im Geschäftsbereich des Bundesministeriums für Landwirtschaft, Ernährung und Heimat</w:t>
      </w:r>
    </w:p>
    <w:p>
      <w:r>
        <w:rPr>
          <w:color w:val="555555"/>
          <w:sz w:val="18"/>
        </w:rPr>
        <w:t xml:space="preserve">Stand: 24.12.2025 (konsolidierte Textfassung, kein amtliches Inkrafttretensdatum)</w:t>
      </w:r>
    </w:p>
    <w:p>
      <w:r>
        <w:t xml:space="preserve">Diese Verordnung tritt mit Ablauf des 31. Dezember 2026 außer Kraft.</w:t>
      </w:r>
    </w:p>
    <w:p>
      <w:r>
        <w:rPr>
          <w:color w:val="555555"/>
          <w:sz w:val="17"/>
        </w:rPr>
        <w:t xml:space="preserve">Zitiervorschlag: § 2 BMLEHStruBVfPAktV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https://recht.nulegal.eu/gesetze/BMLEHStruBVfPAktV/2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