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BMLEHStruBVfPAktV — Anlegung, Führung und Weiterführung von papiergebundenen Akten in Bußgeldverfahren der Bundesanstalt für Landwirtschaft und Ernährung</w:t>
      </w:r>
    </w:p>
    <w:p>
      <w:r>
        <w:rPr>
          <w:color w:val="555555"/>
          <w:sz w:val="18"/>
        </w:rPr>
        <w:t xml:space="preserve">Verordnung zur Ermöglichung der Anlegung, Führung und Weiterführung papiergebundener Akten in Bußgeldverfahren im Geschäftsbereich des Bundesministeriums für Landwirtschaft, Ernährung und Heimat</w:t>
      </w:r>
    </w:p>
    <w:p>
      <w:r>
        <w:rPr>
          <w:color w:val="555555"/>
          <w:sz w:val="18"/>
        </w:rPr>
        <w:t xml:space="preserve">Stand: 24.12.2025 (konsolidierte Textfassung, kein amtliches Inkrafttretensdatum)</w:t>
      </w:r>
    </w:p>
    <w:p>
      <w:r>
        <w:t xml:space="preserve">Die Bundesanstalt für Landwirtschaft und Ernährung kann abweichend von § 110a Absatz 1 Satz 1 und 2 des Gesetzes über Ordnungswidrigkeiten in der am 1. Januar 2026 geltenden Fassung in Bußgeldverfahren Akten bis einschließlich 31. Dezember 2026 in Papierform anlegen sowie von anderer Stelle bis einschließlich 31. Dezember 2026 übermittelte elektronische Akten in Papierform führen oder weiterführen.</w:t>
      </w:r>
    </w:p>
    <w:p>
      <w:r>
        <w:rPr>
          <w:color w:val="555555"/>
          <w:sz w:val="17"/>
        </w:rPr>
        <w:t xml:space="preserve">Zitiervorschlag: § 1 BMLEHStruBVfPAktV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https://recht.nulegal.eu/gesetze/BMLEHStruBVfPAktV/1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