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BMLEHBeihÜbertrAnO</w:t>
      </w:r>
    </w:p>
    <w:p>
      <w:r>
        <w:rPr>
          <w:color w:val="555555"/>
          <w:sz w:val="18"/>
        </w:rPr>
        <w:t xml:space="preserve">Anordnung des Bundesministeriums für Landwirtschaft, Ernährung und Heimat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Nach § 80 Absatz 6, § 126 Absatz 3 Satz 2 und § 127 Absatz 3 Satz 1 des Bundesbeamtengesetzes vom 5. Februar 2009 (BGBl. I S. 160), das zuletzt durch Artikel 1 des Gesetzes vom 27. Februar 2025 (BGBl. 2025 I Nr. 72) geändert worden ist, und § 56 Absatz 2 der Bundesbeihilfeverordnung vom 13. Februar 2009 (BGBl. I S. 326), die zuletzt durch Artikel 1 der Verordnung vom 14. Oktober 2025 (BGBl. 2025 I Nr. 240) geändert worden ist, ordnet das Bundesministerium für Landwirtschaft, Ernährung und Heimat an:</w:t>
      </w:r>
    </w:p>
    <w:p>
      <w:r>
        <w:rPr>
          <w:color w:val="555555"/>
          <w:sz w:val="17"/>
        </w:rPr>
        <w:t xml:space="preserve">Zitiervorschlag: Eingangsformel BMLEHBeihÜbertrAnO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https://recht.nulegal.eu/gesetze/BMLEHBeih%C3%9CbertrAnO/eingangsformel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BMLEHBeihÜbertrAnO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