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BMJVVertrAnO 2026 — Außerkrafttreten</w:t>
      </w:r>
    </w:p>
    <w:p>
      <w:r>
        <w:rPr>
          <w:color w:val="555555"/>
          <w:sz w:val="18"/>
        </w:rPr>
        <w:t xml:space="preserve">BMJV-Vertretungsanordnung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Die BMJ-Vertretungsanordnung vom 1. Februar 2013 (BGBl. I S. 167) tritt am 28. Juli 2026 außer Kraft.</w:t>
      </w:r>
    </w:p>
    <w:p>
      <w:r>
        <w:rPr>
          <w:color w:val="555555"/>
          <w:sz w:val="17"/>
        </w:rPr>
        <w:t xml:space="preserve">Zitiervorschlag: § 6 BMJVVertrAnO 2026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https://recht.nulegal.eu/gesetze/BMJVVertrAnO%202026/6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