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I. BMJGerErnAnO</w:t>
      </w:r>
    </w:p>
    <w:p>
      <w:r>
        <w:rPr>
          <w:color w:val="555555"/>
          <w:sz w:val="18"/>
        </w:rPr>
        <w:t xml:space="preserve">Anordnung über die Ernennung und Entlassung der Bundesbeamtinnen und Bundesbeamten bei den obersten Gerichten des Bundes im Geschäftsbereich des Bundesministeriums der Justiz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Artikels 1 Abs. 1 der Anordnung des Bundespräsidenten über die Ernennung und Entlassung der Beamtinnen, Beamten, Richterinnen und Richter des Bundes vom 23. Juni 2004 (BGBl. I S. 1286) wird die Ausübung des Rechtes zur Ernennung und Entlassung der Bundesbeamtinnen und Bundesbeamten der Besoldungsgruppen A 13 (höherer Dienst) bis A 15 der Bundesbesoldungsordnung A (Anlage I des Bundesbesoldungsgesetzes) jeweils für ihren oder seinen Geschäftsbereich widerruflich übertragen auf:</w:t>
      </w:r>
    </w:p>
    <w:p>
      <w:pPr>
        <w:ind w:left="420"/>
      </w:pPr>
      <w:r>
        <w:t xml:space="preserve">1. die Präsidentin oder den Präsidenten des Bundesgerichtshofs,</w:t>
      </w:r>
    </w:p>
    <w:p>
      <w:pPr>
        <w:ind w:left="420"/>
      </w:pPr>
      <w:r>
        <w:t xml:space="preserve">2. die Präsidentin oder den Präsidenten des Bundesverwaltungsgerichts,</w:t>
      </w:r>
    </w:p>
    <w:p>
      <w:pPr>
        <w:ind w:left="420"/>
      </w:pPr>
      <w:r>
        <w:t xml:space="preserve">3. die Präsidentin oder den Präsidenten des Bundesfinanzhofs.</w:t>
      </w:r>
    </w:p>
    <w:p>
      <w:r>
        <w:rPr>
          <w:color w:val="555555"/>
          <w:sz w:val="17"/>
        </w:rPr>
        <w:t xml:space="preserve">Zitiervorschlag: I. BMJGerErnAnO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https://recht.nulegal.eu/gesetze/BMJGerErnAnO/i.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