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BMIWidVertrAnO 2017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für die Vertretung der Bundesrepublik Deutschland bei Klagen aus dem Beamtenverhältnis im Geschäftsbereich des Bundesministeriums des Innern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126 Absatz 3 Satz 2 und § 127 Absatz 3 Satz 1 des Bundesbeamtengesetzes vom 5. Februar 2009 (BGBl. I S. 160) wird angeordnet:</w:t>
      </w:r>
    </w:p>
    <w:p>
      <w:r>
        <w:rPr>
          <w:color w:val="555555"/>
          <w:sz w:val="17"/>
        </w:rPr>
        <w:t xml:space="preserve">Zitiervorschlag: Eingangsformel BMIWidVertrAnO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https://recht.nulegal.eu/gesetze/BMIWidVertrAnO%202017/eingangsformel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BMIWidVertrAnO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