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BMIPAktErmV</w:t>
      </w:r>
    </w:p>
    <w:p>
      <w:r>
        <w:rPr>
          <w:color w:val="555555"/>
          <w:sz w:val="18"/>
        </w:rPr>
        <w:t xml:space="preserve">Verordnung zur Ermöglichung der Anlegung, Führung und Weiterführung papiergebundener Akten in Bußgeldverfahren im Geschäftsbereich des Bundesministeriums des Innern</w:t>
      </w:r>
    </w:p>
    <w:p>
      <w:r>
        <w:rPr>
          <w:color w:val="555555"/>
          <w:sz w:val="18"/>
        </w:rPr>
        <w:t xml:space="preserve">Stand: 31.12.2025 (konsolidierte Textfassung, kein amtliches Inkrafttretensdatum)</w:t>
      </w:r>
    </w:p>
    <w:p>
      <w:r>
        <w:t xml:space="preserve">Das Bundesministerium des Innern verordnet aufgrund der OWiG-Papierakte-Übertragungsverordnung vom 12. Dezember 2025 (BGBl. 2025 I Nr. 324):</w:t>
      </w:r>
    </w:p>
    <w:p>
      <w:r>
        <w:rPr>
          <w:color w:val="555555"/>
          <w:sz w:val="17"/>
        </w:rPr>
        <w:t xml:space="preserve">Zitiervorschlag: Eingangsformel BMIPAktErmV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https://recht.nulegal.eu/gesetze/BMIPAktErmV/eingangsformel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