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BMIBGebV</w:t>
      </w:r>
    </w:p>
    <w:p>
      <w:r>
        <w:rPr>
          <w:color w:val="555555"/>
          <w:sz w:val="18"/>
        </w:rPr>
        <w:t xml:space="preserve">Besondere Gebührenverordnung BMI</w:t>
      </w:r>
    </w:p>
    <w:p>
      <w:r>
        <w:rPr>
          <w:color w:val="555555"/>
          <w:sz w:val="18"/>
        </w:rPr>
        <w:t xml:space="preserve">Stand: 02.10.2019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des Innern, für Bau und Heimat:</w:t>
      </w:r>
    </w:p>
    <w:p>
      <w:r>
        <w:rPr>
          <w:color w:val="555555"/>
          <w:sz w:val="17"/>
        </w:rPr>
        <w:t xml:space="preserve">Zitiervorschlag: Eingangsformel BMIBGebV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