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BMIBGebV — Zeitgebühr</w:t>
      </w:r>
    </w:p>
    <w:p>
      <w:r>
        <w:rPr>
          <w:color w:val="555555"/>
          <w:sz w:val="18"/>
        </w:rPr>
        <w:t xml:space="preserve">Besondere Gebührenverordnung BMI</w:t>
      </w:r>
    </w:p>
    <w:p>
      <w:r>
        <w:rPr>
          <w:color w:val="555555"/>
          <w:sz w:val="18"/>
        </w:rPr>
        <w:t xml:space="preserve">Stand: 23.10.2021 (konsolidierte Textfassung, kein amtliches Inkrafttretensdatum)</w:t>
      </w:r>
    </w:p>
    <w:p>
      <w:r>
        <w:t xml:space="preserve">Sofern im Gebühren- und Auslagenverzeichnis nichts anderes bestimmt ist, gelten</w:t>
      </w:r>
    </w:p>
    <w:p>
      <w:pPr>
        <w:ind w:left="420"/>
      </w:pPr>
      <w:r>
        <w:t xml:space="preserve">1. für den Zeitaufwand von Verwaltungsbeschäftigten in der Bundesverwaltung die in der Anlage 1 Teil A der Allgemeinen Gebührenverordnung in der am 18. Februar 2021 geltenden Fassung bestimmten allgemeinen pauschalen Stundensätze für Verwaltungsbeschäftigte in der Bundesverwaltung und</w:t>
      </w:r>
    </w:p>
    <w:p>
      <w:pPr>
        <w:ind w:left="420"/>
      </w:pPr>
      <w:r>
        <w:t xml:space="preserve">2. für den Zeitaufwand von Polizeivollzugsbeamtinnen und -beamten des Bundes die allgemeinen pauschalen Stundensätze für Polizeivollzugsbeamtinnen und -beamte des Bundes nach Anlage 1 Teil A der Allgemeinen Gebührenverordnung in der am 18. Februar 2021 geltenden Fassung.</w:t>
      </w:r>
    </w:p>
    <w:p>
      <w:r>
        <w:rPr>
          <w:color w:val="555555"/>
          <w:sz w:val="17"/>
        </w:rPr>
        <w:t xml:space="preserve">Zitiervorschlag: § 3 BMIBGebV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https://recht.nulegal.eu/gesetze/BMIBGebV/3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