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BMIBGebV — Erhebung von Gebühren und Auslagen</w:t>
      </w:r>
    </w:p>
    <w:p>
      <w:r>
        <w:rPr>
          <w:color w:val="555555"/>
          <w:sz w:val="18"/>
        </w:rPr>
        <w:t xml:space="preserve">Besondere Gebührenverordnung BMI</w:t>
      </w:r>
    </w:p>
    <w:p>
      <w:r>
        <w:rPr>
          <w:color w:val="555555"/>
          <w:sz w:val="18"/>
        </w:rPr>
        <w:t xml:space="preserve">Stand: 11.07.2026 (konsolidierte Textfassung, kein amtliches Inkrafttretensdatum)</w:t>
      </w:r>
    </w:p>
    <w:p>
      <w:r>
        <w:t xml:space="preserve">Im Zuständigkeitsbereich des Bundesministeriums des Innern, für Bau und Heimat werden Gebühren und Auslagen für individuell zurechenbare öffentliche Leistungen (gebührenfähige Leistungen) erhoben, die auf Grund der folgenden Vorschriften erbracht werden:</w:t>
      </w:r>
    </w:p>
    <w:p>
      <w:pPr>
        <w:ind w:left="420"/>
      </w:pPr>
      <w:r>
        <w:t xml:space="preserve">1. Bundespolizeigesetz,</w:t>
      </w:r>
    </w:p>
    <w:p>
      <w:pPr>
        <w:ind w:left="420"/>
      </w:pPr>
      <w:r>
        <w:t xml:space="preserve">2. Verwaltungs-Vollstreckungsgesetz,</w:t>
      </w:r>
    </w:p>
    <w:p>
      <w:pPr>
        <w:ind w:left="420"/>
      </w:pPr>
      <w:r>
        <w:t xml:space="preserve">3. BDBOS-Gesetz,</w:t>
      </w:r>
    </w:p>
    <w:p>
      <w:pPr>
        <w:ind w:left="420"/>
      </w:pPr>
      <w:r>
        <w:t xml:space="preserve">4. BDBOS-Zertifizierungsverordnung,</w:t>
      </w:r>
    </w:p>
    <w:p>
      <w:pPr>
        <w:ind w:left="420"/>
      </w:pPr>
      <w:r>
        <w:t xml:space="preserve">5. Laufbahnbefähigungsanerkennungsverordnung,</w:t>
      </w:r>
    </w:p>
    <w:p>
      <w:pPr>
        <w:ind w:left="420"/>
      </w:pPr>
      <w:r>
        <w:t xml:space="preserve">6. Verordnung (EU) 2016/679 des Europäischen Parlaments und des Rates vom 27. April 2016 zum Schutz natürlicher Personen bei der Verarbeitung personenbezogener Daten, zum freien Datenverkehr und zur Aufhebung der Richtlinie 95/46/EG (Datenschutz-Grundverordnung),</w:t>
      </w:r>
    </w:p>
    <w:p>
      <w:pPr>
        <w:ind w:left="420"/>
      </w:pPr>
      <w:r>
        <w:t xml:space="preserve">7. BSI-Gesetz,</w:t>
      </w:r>
    </w:p>
    <w:p>
      <w:pPr>
        <w:ind w:left="420"/>
      </w:pPr>
      <w:r>
        <w:t xml:space="preserve">8. (weggefallen)</w:t>
      </w:r>
    </w:p>
    <w:p>
      <w:pPr>
        <w:ind w:left="420"/>
      </w:pPr>
      <w:r>
        <w:t xml:space="preserve">9. Verordnung zur Erteilung von Unbedenklichkeitsbescheinigungen,</w:t>
      </w:r>
    </w:p>
    <w:p>
      <w:pPr>
        <w:ind w:left="420"/>
      </w:pPr>
      <w:r>
        <w:t xml:space="preserve">10. Waffengesetz,</w:t>
      </w:r>
    </w:p>
    <w:p>
      <w:pPr>
        <w:ind w:left="420"/>
      </w:pPr>
      <w:r>
        <w:t xml:space="preserve">11. Allgemeine Waffengesetz-Verordnung.</w:t>
      </w:r>
    </w:p>
    <w:p>
      <w:r>
        <w:rPr>
          <w:color w:val="555555"/>
          <w:sz w:val="17"/>
        </w:rPr>
        <w:t xml:space="preserve">Zitiervorschlag: § 1 BMIBGebV</w:t>
      </w:r>
    </w:p>
    <w:p>
      <w:r>
        <w:rPr>
          <w:color w:val="555555"/>
          <w:sz w:val="17"/>
        </w:rPr>
        <w:t xml:space="preserve">Quelle: Bundesamt für Justiz, abgerufen 11.07.2026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https://recht.nulegal.eu/gesetze/BMIBGebV/1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